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29B" w:rsidRPr="00D13D8E" w:rsidRDefault="00D1529B" w:rsidP="00D1529B">
      <w:pPr>
        <w:autoSpaceDE w:val="0"/>
        <w:autoSpaceDN w:val="0"/>
        <w:spacing w:after="0" w:line="240" w:lineRule="auto"/>
        <w:jc w:val="both"/>
        <w:rPr>
          <w:rFonts w:ascii="Arial" w:eastAsia="Book Antiqua" w:hAnsi="Arial" w:cs="Arial"/>
          <w:bCs/>
          <w:color w:val="000000" w:themeColor="text1"/>
          <w:sz w:val="18"/>
          <w:szCs w:val="18"/>
        </w:rPr>
      </w:pPr>
      <w:r w:rsidRPr="00D13D8E">
        <w:rPr>
          <w:rFonts w:ascii="Arial" w:eastAsia="Book Antiqua" w:hAnsi="Arial" w:cs="Arial"/>
          <w:bCs/>
          <w:noProof/>
          <w:color w:val="000000" w:themeColor="text1"/>
          <w:sz w:val="18"/>
          <w:szCs w:val="18"/>
          <w:lang w:val="en-US"/>
        </w:rPr>
        <w:drawing>
          <wp:inline distT="0" distB="0" distL="0" distR="0">
            <wp:extent cx="6762750" cy="7620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762750" cy="762000"/>
                    </a:xfrm>
                    <a:prstGeom prst="rect">
                      <a:avLst/>
                    </a:prstGeom>
                    <a:noFill/>
                    <a:ln w="9525">
                      <a:noFill/>
                      <a:miter lim="800000"/>
                      <a:headEnd/>
                      <a:tailEnd/>
                    </a:ln>
                  </pic:spPr>
                </pic:pic>
              </a:graphicData>
            </a:graphic>
          </wp:inline>
        </w:drawing>
      </w:r>
      <w:r w:rsidRPr="00D13D8E">
        <w:rPr>
          <w:rFonts w:ascii="Arial" w:eastAsia="Book Antiqua" w:hAnsi="Arial" w:cs="Arial"/>
          <w:bCs/>
          <w:color w:val="000000" w:themeColor="text1"/>
          <w:sz w:val="18"/>
          <w:szCs w:val="18"/>
        </w:rPr>
        <w:t xml:space="preserve">Merit Research Journal of Medicine and Medical Sciences (ISSN: 2354-323X) Vol. 7(1) pp. </w:t>
      </w:r>
      <w:r w:rsidR="00D13D8E" w:rsidRPr="00D13D8E">
        <w:rPr>
          <w:rFonts w:ascii="Arial" w:eastAsia="Book Antiqua" w:hAnsi="Arial" w:cs="Arial"/>
          <w:bCs/>
          <w:color w:val="000000" w:themeColor="text1"/>
          <w:sz w:val="18"/>
          <w:szCs w:val="18"/>
        </w:rPr>
        <w:t>024</w:t>
      </w:r>
      <w:r w:rsidRPr="00D13D8E">
        <w:rPr>
          <w:rFonts w:ascii="Arial" w:eastAsia="Book Antiqua" w:hAnsi="Arial" w:cs="Arial"/>
          <w:bCs/>
          <w:color w:val="000000" w:themeColor="text1"/>
          <w:sz w:val="18"/>
          <w:szCs w:val="18"/>
        </w:rPr>
        <w:t>-</w:t>
      </w:r>
      <w:r w:rsidR="00D13D8E" w:rsidRPr="00D13D8E">
        <w:rPr>
          <w:rFonts w:ascii="Arial" w:eastAsia="Book Antiqua" w:hAnsi="Arial" w:cs="Arial"/>
          <w:bCs/>
          <w:color w:val="000000" w:themeColor="text1"/>
          <w:sz w:val="18"/>
          <w:szCs w:val="18"/>
        </w:rPr>
        <w:t>027</w:t>
      </w:r>
      <w:r w:rsidRPr="00D13D8E">
        <w:rPr>
          <w:rFonts w:ascii="Arial" w:eastAsia="Book Antiqua" w:hAnsi="Arial" w:cs="Arial"/>
          <w:bCs/>
          <w:color w:val="000000" w:themeColor="text1"/>
          <w:sz w:val="18"/>
          <w:szCs w:val="18"/>
        </w:rPr>
        <w:t>, January, 2019</w:t>
      </w:r>
    </w:p>
    <w:p w:rsidR="00D1529B" w:rsidRPr="00D13D8E" w:rsidRDefault="00D1529B" w:rsidP="00D1529B">
      <w:pPr>
        <w:autoSpaceDE w:val="0"/>
        <w:autoSpaceDN w:val="0"/>
        <w:spacing w:after="0" w:line="240" w:lineRule="auto"/>
        <w:jc w:val="both"/>
        <w:rPr>
          <w:rFonts w:ascii="Arial" w:eastAsia="Book Antiqua" w:hAnsi="Arial" w:cs="Arial"/>
          <w:bCs/>
          <w:color w:val="000000" w:themeColor="text1"/>
          <w:sz w:val="18"/>
          <w:szCs w:val="18"/>
        </w:rPr>
      </w:pPr>
      <w:r w:rsidRPr="00D13D8E">
        <w:rPr>
          <w:rFonts w:ascii="Arial" w:eastAsia="Book Antiqua" w:hAnsi="Arial" w:cs="Arial"/>
          <w:bCs/>
          <w:color w:val="000000" w:themeColor="text1"/>
          <w:sz w:val="18"/>
          <w:szCs w:val="18"/>
        </w:rPr>
        <w:t xml:space="preserve">Available online http://www.meritresearchjournals.org/mms/index.htm </w:t>
      </w:r>
    </w:p>
    <w:p w:rsidR="00D1529B" w:rsidRPr="00D13D8E" w:rsidRDefault="00D1529B" w:rsidP="00D1529B">
      <w:pPr>
        <w:autoSpaceDE w:val="0"/>
        <w:autoSpaceDN w:val="0"/>
        <w:spacing w:after="0" w:line="240" w:lineRule="auto"/>
        <w:jc w:val="both"/>
        <w:rPr>
          <w:rFonts w:ascii="Arial" w:eastAsia="Book Antiqua" w:hAnsi="Arial" w:cs="Arial"/>
          <w:bCs/>
          <w:color w:val="000000" w:themeColor="text1"/>
          <w:sz w:val="18"/>
          <w:szCs w:val="18"/>
        </w:rPr>
      </w:pPr>
      <w:r w:rsidRPr="00D13D8E">
        <w:rPr>
          <w:rFonts w:ascii="Arial" w:eastAsia="Book Antiqua" w:hAnsi="Arial" w:cs="Arial"/>
          <w:bCs/>
          <w:color w:val="000000" w:themeColor="text1"/>
          <w:sz w:val="18"/>
          <w:szCs w:val="18"/>
        </w:rPr>
        <w:t>Copyright © 2019 Merit Research Journals</w:t>
      </w:r>
    </w:p>
    <w:p w:rsidR="00D1529B" w:rsidRPr="00D13D8E" w:rsidRDefault="00D1529B" w:rsidP="00D1529B">
      <w:pPr>
        <w:autoSpaceDE w:val="0"/>
        <w:autoSpaceDN w:val="0"/>
        <w:spacing w:after="0" w:line="240" w:lineRule="auto"/>
        <w:jc w:val="both"/>
        <w:rPr>
          <w:rFonts w:ascii="Arial" w:eastAsia="Book Antiqua" w:hAnsi="Arial" w:cs="Arial"/>
          <w:bCs/>
          <w:color w:val="000000" w:themeColor="text1"/>
          <w:sz w:val="18"/>
          <w:szCs w:val="18"/>
        </w:rPr>
      </w:pPr>
    </w:p>
    <w:p w:rsidR="00D1529B" w:rsidRPr="00D13D8E" w:rsidRDefault="00D1529B" w:rsidP="00D1529B">
      <w:pPr>
        <w:autoSpaceDE w:val="0"/>
        <w:autoSpaceDN w:val="0"/>
        <w:spacing w:after="0" w:line="240" w:lineRule="auto"/>
        <w:jc w:val="both"/>
        <w:rPr>
          <w:rFonts w:ascii="Arial" w:eastAsia="Book Antiqua" w:hAnsi="Arial" w:cs="Arial"/>
          <w:bCs/>
          <w:color w:val="000000" w:themeColor="text1"/>
          <w:sz w:val="18"/>
          <w:szCs w:val="18"/>
        </w:rPr>
      </w:pPr>
    </w:p>
    <w:p w:rsidR="00D1529B" w:rsidRPr="00D13D8E" w:rsidRDefault="00D1529B" w:rsidP="00D1529B">
      <w:pPr>
        <w:autoSpaceDE w:val="0"/>
        <w:autoSpaceDN w:val="0"/>
        <w:spacing w:after="0" w:line="240" w:lineRule="auto"/>
        <w:jc w:val="both"/>
        <w:rPr>
          <w:rFonts w:ascii="Arial" w:eastAsia="Book Antiqua" w:hAnsi="Arial" w:cs="Arial"/>
          <w:bCs/>
          <w:i/>
          <w:color w:val="000000" w:themeColor="text1"/>
          <w:sz w:val="28"/>
          <w:szCs w:val="28"/>
        </w:rPr>
      </w:pPr>
      <w:r w:rsidRPr="00D13D8E">
        <w:rPr>
          <w:rFonts w:ascii="Arial" w:eastAsia="Book Antiqua" w:hAnsi="Arial" w:cs="Arial"/>
          <w:bCs/>
          <w:i/>
          <w:color w:val="000000" w:themeColor="text1"/>
          <w:sz w:val="28"/>
          <w:szCs w:val="28"/>
        </w:rPr>
        <w:t>Case Report</w:t>
      </w:r>
    </w:p>
    <w:p w:rsidR="00D1529B" w:rsidRPr="00D13D8E" w:rsidRDefault="00D1529B" w:rsidP="00D1529B">
      <w:pPr>
        <w:spacing w:after="0" w:line="240" w:lineRule="auto"/>
        <w:jc w:val="both"/>
        <w:rPr>
          <w:rFonts w:ascii="Arial" w:hAnsi="Arial" w:cs="Arial"/>
          <w:color w:val="000000" w:themeColor="text1"/>
          <w:sz w:val="20"/>
          <w:szCs w:val="20"/>
        </w:rPr>
      </w:pPr>
    </w:p>
    <w:p w:rsidR="00D1529B" w:rsidRPr="00D13D8E" w:rsidRDefault="00D1529B" w:rsidP="00D1529B">
      <w:pPr>
        <w:spacing w:after="0" w:line="240" w:lineRule="auto"/>
        <w:jc w:val="both"/>
        <w:rPr>
          <w:rFonts w:ascii="Arial" w:hAnsi="Arial" w:cs="Arial"/>
          <w:color w:val="000000" w:themeColor="text1"/>
          <w:sz w:val="20"/>
          <w:szCs w:val="20"/>
        </w:rPr>
      </w:pPr>
    </w:p>
    <w:p w:rsidR="002C3CE2" w:rsidRPr="00D13D8E" w:rsidRDefault="002C3CE2" w:rsidP="00D1529B">
      <w:pPr>
        <w:spacing w:after="0" w:line="240" w:lineRule="auto"/>
        <w:jc w:val="center"/>
        <w:rPr>
          <w:rFonts w:ascii="Arial" w:hAnsi="Arial" w:cs="Arial"/>
          <w:b/>
          <w:color w:val="000000" w:themeColor="text1"/>
          <w:sz w:val="40"/>
          <w:szCs w:val="40"/>
          <w:u w:val="single"/>
        </w:rPr>
      </w:pPr>
      <w:r w:rsidRPr="00D13D8E">
        <w:rPr>
          <w:rFonts w:ascii="Arial" w:hAnsi="Arial" w:cs="Arial"/>
          <w:b/>
          <w:color w:val="000000" w:themeColor="text1"/>
          <w:sz w:val="40"/>
          <w:szCs w:val="40"/>
        </w:rPr>
        <w:t>Lingual alveolar sarco</w:t>
      </w:r>
      <w:r w:rsidR="006A7C08" w:rsidRPr="00D13D8E">
        <w:rPr>
          <w:rFonts w:ascii="Arial" w:hAnsi="Arial" w:cs="Arial"/>
          <w:b/>
          <w:color w:val="000000" w:themeColor="text1"/>
          <w:sz w:val="40"/>
          <w:szCs w:val="40"/>
        </w:rPr>
        <w:t>ma in children: a rare soft tissue</w:t>
      </w:r>
      <w:r w:rsidRPr="00D13D8E">
        <w:rPr>
          <w:rFonts w:ascii="Arial" w:hAnsi="Arial" w:cs="Arial"/>
          <w:b/>
          <w:color w:val="000000" w:themeColor="text1"/>
          <w:sz w:val="40"/>
          <w:szCs w:val="40"/>
        </w:rPr>
        <w:t xml:space="preserve"> sarcoma</w:t>
      </w:r>
    </w:p>
    <w:p w:rsidR="00963F65" w:rsidRPr="00D13D8E" w:rsidRDefault="00963F65" w:rsidP="00D1529B">
      <w:pPr>
        <w:autoSpaceDE w:val="0"/>
        <w:autoSpaceDN w:val="0"/>
        <w:adjustRightInd w:val="0"/>
        <w:spacing w:after="0" w:line="240" w:lineRule="auto"/>
        <w:jc w:val="center"/>
        <w:rPr>
          <w:rFonts w:ascii="Arial" w:hAnsi="Arial" w:cs="Arial"/>
          <w:color w:val="000000" w:themeColor="text1"/>
          <w:sz w:val="20"/>
          <w:szCs w:val="20"/>
        </w:rPr>
      </w:pPr>
    </w:p>
    <w:p w:rsidR="00C35070" w:rsidRPr="00D13D8E" w:rsidRDefault="00C35070" w:rsidP="00D1529B">
      <w:pPr>
        <w:autoSpaceDE w:val="0"/>
        <w:autoSpaceDN w:val="0"/>
        <w:adjustRightInd w:val="0"/>
        <w:spacing w:after="0" w:line="240" w:lineRule="auto"/>
        <w:jc w:val="center"/>
        <w:rPr>
          <w:rFonts w:ascii="Arial" w:hAnsi="Arial" w:cs="Arial"/>
          <w:b/>
          <w:color w:val="000000" w:themeColor="text1"/>
          <w:spacing w:val="-4"/>
          <w:sz w:val="24"/>
          <w:szCs w:val="24"/>
        </w:rPr>
      </w:pPr>
      <w:r w:rsidRPr="00D13D8E">
        <w:rPr>
          <w:rFonts w:ascii="Arial" w:hAnsi="Arial" w:cs="Arial"/>
          <w:b/>
          <w:color w:val="000000" w:themeColor="text1"/>
          <w:spacing w:val="-4"/>
          <w:sz w:val="24"/>
          <w:szCs w:val="24"/>
        </w:rPr>
        <w:t>Adil Fouad</w:t>
      </w:r>
      <w:r w:rsidR="00CC2FE3" w:rsidRPr="00D13D8E">
        <w:rPr>
          <w:rFonts w:ascii="Arial" w:hAnsi="Arial" w:cs="Arial"/>
          <w:b/>
          <w:color w:val="000000" w:themeColor="text1"/>
          <w:spacing w:val="-4"/>
          <w:sz w:val="24"/>
          <w:szCs w:val="24"/>
          <w:vertAlign w:val="superscript"/>
        </w:rPr>
        <w:t>1</w:t>
      </w:r>
      <w:r w:rsidR="00D1529B" w:rsidRPr="00D13D8E">
        <w:rPr>
          <w:rFonts w:ascii="Arial" w:hAnsi="Arial" w:cs="Arial"/>
          <w:b/>
          <w:color w:val="000000" w:themeColor="text1"/>
          <w:spacing w:val="-4"/>
          <w:sz w:val="24"/>
          <w:szCs w:val="24"/>
          <w:vertAlign w:val="superscript"/>
        </w:rPr>
        <w:t>*</w:t>
      </w:r>
      <w:r w:rsidRPr="00D13D8E">
        <w:rPr>
          <w:rFonts w:ascii="Arial" w:hAnsi="Arial" w:cs="Arial"/>
          <w:b/>
          <w:color w:val="000000" w:themeColor="text1"/>
          <w:spacing w:val="-4"/>
          <w:sz w:val="24"/>
          <w:szCs w:val="24"/>
        </w:rPr>
        <w:t>, Meriem</w:t>
      </w:r>
      <w:r w:rsidR="00D83876" w:rsidRPr="00D13D8E">
        <w:rPr>
          <w:rFonts w:ascii="Arial" w:hAnsi="Arial" w:cs="Arial"/>
          <w:b/>
          <w:color w:val="000000" w:themeColor="text1"/>
          <w:sz w:val="24"/>
          <w:szCs w:val="24"/>
        </w:rPr>
        <w:t xml:space="preserve"> </w:t>
      </w:r>
      <w:r w:rsidRPr="00D13D8E">
        <w:rPr>
          <w:rFonts w:ascii="Arial" w:hAnsi="Arial" w:cs="Arial"/>
          <w:b/>
          <w:color w:val="000000" w:themeColor="text1"/>
          <w:spacing w:val="-4"/>
          <w:sz w:val="24"/>
          <w:szCs w:val="24"/>
        </w:rPr>
        <w:t>El Baz</w:t>
      </w:r>
      <w:r w:rsidR="00CC2FE3" w:rsidRPr="00D13D8E">
        <w:rPr>
          <w:rFonts w:ascii="Arial" w:hAnsi="Arial" w:cs="Arial"/>
          <w:b/>
          <w:color w:val="000000" w:themeColor="text1"/>
          <w:spacing w:val="-4"/>
          <w:sz w:val="24"/>
          <w:szCs w:val="24"/>
          <w:vertAlign w:val="superscript"/>
        </w:rPr>
        <w:t>1</w:t>
      </w:r>
      <w:r w:rsidRPr="00D13D8E">
        <w:rPr>
          <w:rFonts w:ascii="Arial" w:hAnsi="Arial" w:cs="Arial"/>
          <w:b/>
          <w:color w:val="000000" w:themeColor="text1"/>
          <w:spacing w:val="-4"/>
          <w:sz w:val="24"/>
          <w:szCs w:val="24"/>
        </w:rPr>
        <w:t xml:space="preserve">, </w:t>
      </w:r>
      <w:r w:rsidR="006A7C08" w:rsidRPr="00D13D8E">
        <w:rPr>
          <w:rFonts w:ascii="Arial" w:hAnsi="Arial" w:cs="Arial"/>
          <w:b/>
          <w:color w:val="000000" w:themeColor="text1"/>
          <w:spacing w:val="-4"/>
          <w:sz w:val="24"/>
          <w:szCs w:val="24"/>
        </w:rPr>
        <w:t>Nadia Mansouri</w:t>
      </w:r>
      <w:r w:rsidR="00CC2FE3" w:rsidRPr="00D13D8E">
        <w:rPr>
          <w:rFonts w:ascii="Arial" w:hAnsi="Arial" w:cs="Arial"/>
          <w:b/>
          <w:color w:val="000000" w:themeColor="text1"/>
          <w:spacing w:val="-4"/>
          <w:sz w:val="24"/>
          <w:szCs w:val="24"/>
          <w:vertAlign w:val="superscript"/>
        </w:rPr>
        <w:t>2</w:t>
      </w:r>
      <w:r w:rsidR="006A7C08" w:rsidRPr="00D13D8E">
        <w:rPr>
          <w:rFonts w:ascii="Arial" w:hAnsi="Arial" w:cs="Arial"/>
          <w:b/>
          <w:color w:val="000000" w:themeColor="text1"/>
          <w:spacing w:val="-4"/>
          <w:sz w:val="24"/>
          <w:szCs w:val="24"/>
        </w:rPr>
        <w:t xml:space="preserve">, </w:t>
      </w:r>
      <w:r w:rsidR="00CC2FE3" w:rsidRPr="00D13D8E">
        <w:rPr>
          <w:rFonts w:ascii="Arial" w:hAnsi="Arial" w:cs="Arial"/>
          <w:b/>
          <w:color w:val="000000" w:themeColor="text1"/>
          <w:spacing w:val="-4"/>
          <w:sz w:val="24"/>
          <w:szCs w:val="24"/>
        </w:rPr>
        <w:t>Abderra</w:t>
      </w:r>
      <w:r w:rsidR="00B45340" w:rsidRPr="00D13D8E">
        <w:rPr>
          <w:rFonts w:ascii="Arial" w:hAnsi="Arial" w:cs="Arial"/>
          <w:b/>
          <w:color w:val="000000" w:themeColor="text1"/>
          <w:spacing w:val="-4"/>
          <w:sz w:val="24"/>
          <w:szCs w:val="24"/>
        </w:rPr>
        <w:t>c</w:t>
      </w:r>
      <w:r w:rsidR="00CC2FE3" w:rsidRPr="00D13D8E">
        <w:rPr>
          <w:rFonts w:ascii="Arial" w:hAnsi="Arial" w:cs="Arial"/>
          <w:b/>
          <w:color w:val="000000" w:themeColor="text1"/>
          <w:spacing w:val="-4"/>
          <w:sz w:val="24"/>
          <w:szCs w:val="24"/>
        </w:rPr>
        <w:t>hid Hamdaoui</w:t>
      </w:r>
      <w:r w:rsidR="00CC2FE3" w:rsidRPr="00D13D8E">
        <w:rPr>
          <w:rFonts w:ascii="Arial" w:hAnsi="Arial" w:cs="Arial"/>
          <w:b/>
          <w:color w:val="000000" w:themeColor="text1"/>
          <w:spacing w:val="-4"/>
          <w:sz w:val="24"/>
          <w:szCs w:val="24"/>
          <w:vertAlign w:val="superscript"/>
        </w:rPr>
        <w:t>3</w:t>
      </w:r>
      <w:r w:rsidR="00CC2FE3" w:rsidRPr="00D13D8E">
        <w:rPr>
          <w:rFonts w:ascii="Arial" w:hAnsi="Arial" w:cs="Arial"/>
          <w:b/>
          <w:color w:val="000000" w:themeColor="text1"/>
          <w:spacing w:val="-4"/>
          <w:sz w:val="24"/>
          <w:szCs w:val="24"/>
        </w:rPr>
        <w:t xml:space="preserve">, </w:t>
      </w:r>
      <w:r w:rsidR="00627CFA" w:rsidRPr="00D13D8E">
        <w:rPr>
          <w:rFonts w:ascii="Arial" w:hAnsi="Arial" w:cs="Arial"/>
          <w:b/>
          <w:color w:val="000000" w:themeColor="text1"/>
          <w:spacing w:val="-4"/>
          <w:sz w:val="24"/>
          <w:szCs w:val="24"/>
        </w:rPr>
        <w:t xml:space="preserve">Dounia </w:t>
      </w:r>
      <w:r w:rsidR="007D2753" w:rsidRPr="00D13D8E">
        <w:rPr>
          <w:rFonts w:ascii="Arial" w:hAnsi="Arial" w:cs="Arial"/>
          <w:b/>
          <w:color w:val="000000" w:themeColor="text1"/>
          <w:spacing w:val="-4"/>
          <w:sz w:val="24"/>
          <w:szCs w:val="24"/>
        </w:rPr>
        <w:t>Basraoui</w:t>
      </w:r>
      <w:r w:rsidR="007D2753" w:rsidRPr="00D13D8E">
        <w:rPr>
          <w:rFonts w:ascii="Arial" w:hAnsi="Arial" w:cs="Arial"/>
          <w:b/>
          <w:color w:val="000000" w:themeColor="text1"/>
          <w:spacing w:val="-4"/>
          <w:sz w:val="24"/>
          <w:szCs w:val="24"/>
          <w:vertAlign w:val="superscript"/>
        </w:rPr>
        <w:t>4</w:t>
      </w:r>
      <w:r w:rsidR="00627CFA" w:rsidRPr="00D13D8E">
        <w:rPr>
          <w:rFonts w:ascii="Arial" w:hAnsi="Arial" w:cs="Arial"/>
          <w:b/>
          <w:color w:val="000000" w:themeColor="text1"/>
          <w:spacing w:val="-4"/>
          <w:sz w:val="24"/>
          <w:szCs w:val="24"/>
        </w:rPr>
        <w:t xml:space="preserve">, </w:t>
      </w:r>
      <w:r w:rsidR="00CC2FE3" w:rsidRPr="00D13D8E">
        <w:rPr>
          <w:rFonts w:ascii="Arial" w:hAnsi="Arial" w:cs="Arial"/>
          <w:b/>
          <w:color w:val="000000" w:themeColor="text1"/>
          <w:spacing w:val="-4"/>
          <w:sz w:val="24"/>
          <w:szCs w:val="24"/>
        </w:rPr>
        <w:t>Hi</w:t>
      </w:r>
      <w:r w:rsidR="00B45340" w:rsidRPr="00D13D8E">
        <w:rPr>
          <w:rFonts w:ascii="Arial" w:hAnsi="Arial" w:cs="Arial"/>
          <w:b/>
          <w:color w:val="000000" w:themeColor="text1"/>
          <w:spacing w:val="-4"/>
          <w:sz w:val="24"/>
          <w:szCs w:val="24"/>
        </w:rPr>
        <w:t>c</w:t>
      </w:r>
      <w:r w:rsidR="00CC2FE3" w:rsidRPr="00D13D8E">
        <w:rPr>
          <w:rFonts w:ascii="Arial" w:hAnsi="Arial" w:cs="Arial"/>
          <w:b/>
          <w:color w:val="000000" w:themeColor="text1"/>
          <w:spacing w:val="-4"/>
          <w:sz w:val="24"/>
          <w:szCs w:val="24"/>
        </w:rPr>
        <w:t>ham Jalal</w:t>
      </w:r>
      <w:r w:rsidR="00CC2FE3" w:rsidRPr="00D13D8E">
        <w:rPr>
          <w:rFonts w:ascii="Arial" w:hAnsi="Arial" w:cs="Arial"/>
          <w:b/>
          <w:color w:val="000000" w:themeColor="text1"/>
          <w:spacing w:val="-4"/>
          <w:sz w:val="24"/>
          <w:szCs w:val="24"/>
          <w:vertAlign w:val="superscript"/>
        </w:rPr>
        <w:t>4</w:t>
      </w:r>
      <w:r w:rsidR="00D1529B" w:rsidRPr="00D13D8E">
        <w:rPr>
          <w:rFonts w:ascii="Arial" w:hAnsi="Arial" w:cs="Arial"/>
          <w:b/>
          <w:color w:val="000000" w:themeColor="text1"/>
          <w:spacing w:val="-4"/>
          <w:sz w:val="24"/>
          <w:szCs w:val="24"/>
        </w:rPr>
        <w:t xml:space="preserve"> and </w:t>
      </w:r>
      <w:r w:rsidR="00CC2FE3" w:rsidRPr="00D13D8E">
        <w:rPr>
          <w:rFonts w:ascii="Arial" w:hAnsi="Arial" w:cs="Arial"/>
          <w:b/>
          <w:color w:val="000000" w:themeColor="text1"/>
          <w:spacing w:val="-4"/>
          <w:sz w:val="24"/>
          <w:szCs w:val="24"/>
        </w:rPr>
        <w:t>Jamila</w:t>
      </w:r>
      <w:r w:rsidRPr="00D13D8E">
        <w:rPr>
          <w:rFonts w:ascii="Arial" w:hAnsi="Arial" w:cs="Arial"/>
          <w:b/>
          <w:color w:val="000000" w:themeColor="text1"/>
          <w:spacing w:val="-4"/>
          <w:sz w:val="24"/>
          <w:szCs w:val="24"/>
        </w:rPr>
        <w:t xml:space="preserve"> El Houdzy</w:t>
      </w:r>
      <w:r w:rsidR="00CC2FE3" w:rsidRPr="00D13D8E">
        <w:rPr>
          <w:rFonts w:ascii="Arial" w:hAnsi="Arial" w:cs="Arial"/>
          <w:b/>
          <w:color w:val="000000" w:themeColor="text1"/>
          <w:spacing w:val="-4"/>
          <w:sz w:val="24"/>
          <w:szCs w:val="24"/>
          <w:vertAlign w:val="superscript"/>
        </w:rPr>
        <w:t>1</w:t>
      </w:r>
    </w:p>
    <w:p w:rsidR="00D1529B" w:rsidRPr="00D13D8E" w:rsidRDefault="00D1529B" w:rsidP="00D1529B">
      <w:pPr>
        <w:spacing w:after="0" w:line="240" w:lineRule="auto"/>
        <w:jc w:val="center"/>
        <w:rPr>
          <w:rFonts w:ascii="Arial" w:hAnsi="Arial" w:cs="Arial"/>
          <w:color w:val="000000" w:themeColor="text1"/>
          <w:sz w:val="16"/>
          <w:szCs w:val="16"/>
          <w:lang w:val="en-US"/>
        </w:rPr>
      </w:pPr>
    </w:p>
    <w:p w:rsidR="00D1529B" w:rsidRPr="00D13D8E" w:rsidRDefault="00D1529B" w:rsidP="00D1529B">
      <w:pPr>
        <w:adjustRightInd w:val="0"/>
        <w:spacing w:after="0" w:line="240" w:lineRule="auto"/>
        <w:jc w:val="center"/>
        <w:rPr>
          <w:rFonts w:ascii="Arial" w:hAnsi="Arial" w:cs="Arial"/>
          <w:color w:val="000000" w:themeColor="text1"/>
          <w:sz w:val="16"/>
          <w:szCs w:val="16"/>
        </w:rPr>
      </w:pPr>
      <w:r w:rsidRPr="00D13D8E">
        <w:rPr>
          <w:rFonts w:ascii="Arial" w:eastAsia="Times New Roman" w:hAnsi="Arial" w:cs="Arial"/>
          <w:b/>
          <w:color w:val="000000" w:themeColor="text1"/>
          <w:sz w:val="16"/>
          <w:szCs w:val="16"/>
          <w:lang w:val="en-US"/>
        </w:rPr>
        <w:t>Abstract</w:t>
      </w:r>
    </w:p>
    <w:p w:rsidR="00963F65" w:rsidRPr="00D13D8E" w:rsidRDefault="00963F65" w:rsidP="00D1529B">
      <w:pPr>
        <w:autoSpaceDE w:val="0"/>
        <w:autoSpaceDN w:val="0"/>
        <w:adjustRightInd w:val="0"/>
        <w:spacing w:after="0" w:line="240" w:lineRule="auto"/>
        <w:jc w:val="center"/>
        <w:rPr>
          <w:rFonts w:ascii="Arial" w:hAnsi="Arial" w:cs="Arial"/>
          <w:color w:val="000000" w:themeColor="text1"/>
          <w:sz w:val="16"/>
          <w:szCs w:val="16"/>
        </w:rPr>
      </w:pPr>
    </w:p>
    <w:p w:rsidR="00D1529B" w:rsidRPr="00D13D8E" w:rsidRDefault="00D1529B" w:rsidP="00D1529B">
      <w:pPr>
        <w:autoSpaceDE w:val="0"/>
        <w:autoSpaceDN w:val="0"/>
        <w:adjustRightInd w:val="0"/>
        <w:spacing w:after="0" w:line="240" w:lineRule="auto"/>
        <w:jc w:val="center"/>
        <w:rPr>
          <w:rFonts w:ascii="Arial" w:hAnsi="Arial" w:cs="Arial"/>
          <w:color w:val="000000" w:themeColor="text1"/>
          <w:sz w:val="20"/>
          <w:szCs w:val="20"/>
          <w:vertAlign w:val="superscript"/>
        </w:rPr>
        <w:sectPr w:rsidR="00D1529B" w:rsidRPr="00D13D8E" w:rsidSect="00D1529B">
          <w:headerReference w:type="default" r:id="rId8"/>
          <w:type w:val="continuous"/>
          <w:pgSz w:w="12240" w:h="15840" w:code="1"/>
          <w:pgMar w:top="576" w:right="720" w:bottom="1008" w:left="864" w:header="720" w:footer="720" w:gutter="0"/>
          <w:cols w:space="708"/>
          <w:docGrid w:linePitch="360"/>
        </w:sectPr>
      </w:pPr>
    </w:p>
    <w:p w:rsidR="002C3CE2"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r w:rsidRPr="00D13D8E">
        <w:rPr>
          <w:rFonts w:ascii="Arial" w:hAnsi="Arial" w:cs="Arial"/>
          <w:color w:val="000000" w:themeColor="text1"/>
          <w:sz w:val="18"/>
          <w:szCs w:val="18"/>
          <w:vertAlign w:val="superscript"/>
        </w:rPr>
        <w:lastRenderedPageBreak/>
        <w:t>1</w:t>
      </w:r>
      <w:r w:rsidR="007E490C" w:rsidRPr="00D13D8E">
        <w:rPr>
          <w:rFonts w:ascii="Arial" w:eastAsia="Times New Roman" w:hAnsi="Arial" w:cs="Arial"/>
          <w:bCs/>
          <w:color w:val="000000" w:themeColor="text1"/>
          <w:sz w:val="18"/>
          <w:szCs w:val="18"/>
        </w:rPr>
        <w:t>Pediatric Hematology and Oncology Department, Moham</w:t>
      </w:r>
      <w:r w:rsidR="00B45340" w:rsidRPr="00D13D8E">
        <w:rPr>
          <w:rFonts w:ascii="Arial" w:eastAsia="Times New Roman" w:hAnsi="Arial" w:cs="Arial"/>
          <w:bCs/>
          <w:color w:val="000000" w:themeColor="text1"/>
          <w:sz w:val="18"/>
          <w:szCs w:val="18"/>
        </w:rPr>
        <w:t>m</w:t>
      </w:r>
      <w:r w:rsidR="007E490C" w:rsidRPr="00D13D8E">
        <w:rPr>
          <w:rFonts w:ascii="Arial" w:eastAsia="Times New Roman" w:hAnsi="Arial" w:cs="Arial"/>
          <w:bCs/>
          <w:color w:val="000000" w:themeColor="text1"/>
          <w:sz w:val="18"/>
          <w:szCs w:val="18"/>
        </w:rPr>
        <w:t>ed VI University Hospital of Marrakesh, Morocco.</w:t>
      </w:r>
    </w:p>
    <w:p w:rsidR="00D1529B"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p>
    <w:p w:rsidR="006A7C08"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r w:rsidRPr="00D13D8E">
        <w:rPr>
          <w:rFonts w:ascii="Arial" w:eastAsia="Times New Roman" w:hAnsi="Arial" w:cs="Arial"/>
          <w:bCs/>
          <w:color w:val="000000" w:themeColor="text1"/>
          <w:sz w:val="18"/>
          <w:szCs w:val="18"/>
          <w:vertAlign w:val="superscript"/>
        </w:rPr>
        <w:t>2</w:t>
      </w:r>
      <w:r w:rsidR="006A7C08" w:rsidRPr="00D13D8E">
        <w:rPr>
          <w:rFonts w:ascii="Arial" w:eastAsia="Times New Roman" w:hAnsi="Arial" w:cs="Arial"/>
          <w:bCs/>
          <w:color w:val="000000" w:themeColor="text1"/>
          <w:sz w:val="18"/>
          <w:szCs w:val="18"/>
        </w:rPr>
        <w:t>M</w:t>
      </w:r>
      <w:r w:rsidR="00B45340" w:rsidRPr="00D13D8E">
        <w:rPr>
          <w:rFonts w:ascii="Arial" w:eastAsia="Times New Roman" w:hAnsi="Arial" w:cs="Arial"/>
          <w:bCs/>
          <w:color w:val="000000" w:themeColor="text1"/>
          <w:sz w:val="18"/>
          <w:szCs w:val="18"/>
        </w:rPr>
        <w:t xml:space="preserve">axillofacial </w:t>
      </w:r>
      <w:r w:rsidR="006A7C08" w:rsidRPr="00D13D8E">
        <w:rPr>
          <w:rFonts w:ascii="Arial" w:eastAsia="Times New Roman" w:hAnsi="Arial" w:cs="Arial"/>
          <w:bCs/>
          <w:color w:val="000000" w:themeColor="text1"/>
          <w:sz w:val="18"/>
          <w:szCs w:val="18"/>
        </w:rPr>
        <w:t>Department, Moham</w:t>
      </w:r>
      <w:r w:rsidR="00B45340" w:rsidRPr="00D13D8E">
        <w:rPr>
          <w:rFonts w:ascii="Arial" w:eastAsia="Times New Roman" w:hAnsi="Arial" w:cs="Arial"/>
          <w:bCs/>
          <w:color w:val="000000" w:themeColor="text1"/>
          <w:sz w:val="18"/>
          <w:szCs w:val="18"/>
        </w:rPr>
        <w:t>m</w:t>
      </w:r>
      <w:r w:rsidR="006A7C08" w:rsidRPr="00D13D8E">
        <w:rPr>
          <w:rFonts w:ascii="Arial" w:eastAsia="Times New Roman" w:hAnsi="Arial" w:cs="Arial"/>
          <w:bCs/>
          <w:color w:val="000000" w:themeColor="text1"/>
          <w:sz w:val="18"/>
          <w:szCs w:val="18"/>
        </w:rPr>
        <w:t>ed VI University Hospital of Marrakesh, Morocco.</w:t>
      </w:r>
    </w:p>
    <w:p w:rsidR="00D1529B"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p>
    <w:p w:rsidR="006A7C08"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r w:rsidRPr="00D13D8E">
        <w:rPr>
          <w:rFonts w:ascii="Arial" w:eastAsia="Times New Roman" w:hAnsi="Arial" w:cs="Arial"/>
          <w:bCs/>
          <w:color w:val="000000" w:themeColor="text1"/>
          <w:sz w:val="18"/>
          <w:szCs w:val="18"/>
          <w:vertAlign w:val="superscript"/>
        </w:rPr>
        <w:t>3</w:t>
      </w:r>
      <w:r w:rsidR="00CC2FE3" w:rsidRPr="00D13D8E">
        <w:rPr>
          <w:rFonts w:ascii="Arial" w:eastAsia="Times New Roman" w:hAnsi="Arial" w:cs="Arial"/>
          <w:bCs/>
          <w:color w:val="000000" w:themeColor="text1"/>
          <w:sz w:val="18"/>
          <w:szCs w:val="18"/>
        </w:rPr>
        <w:t>Center of A</w:t>
      </w:r>
      <w:r w:rsidR="006A7C08" w:rsidRPr="00D13D8E">
        <w:rPr>
          <w:rFonts w:ascii="Arial" w:eastAsia="Times New Roman" w:hAnsi="Arial" w:cs="Arial"/>
          <w:bCs/>
          <w:color w:val="000000" w:themeColor="text1"/>
          <w:sz w:val="18"/>
          <w:szCs w:val="18"/>
        </w:rPr>
        <w:t>nathomocytopathology</w:t>
      </w:r>
      <w:r w:rsidR="007A3484" w:rsidRPr="00D13D8E">
        <w:rPr>
          <w:rFonts w:ascii="Arial" w:eastAsia="Times New Roman" w:hAnsi="Arial" w:cs="Arial"/>
          <w:bCs/>
          <w:color w:val="000000" w:themeColor="text1"/>
          <w:sz w:val="18"/>
          <w:szCs w:val="18"/>
        </w:rPr>
        <w:t xml:space="preserve"> Zohor</w:t>
      </w:r>
      <w:r w:rsidR="00CC2FE3" w:rsidRPr="00D13D8E">
        <w:rPr>
          <w:rFonts w:ascii="Arial" w:eastAsia="Times New Roman" w:hAnsi="Arial" w:cs="Arial"/>
          <w:bCs/>
          <w:color w:val="000000" w:themeColor="text1"/>
          <w:sz w:val="18"/>
          <w:szCs w:val="18"/>
        </w:rPr>
        <w:t>, Marrakesh, Morocco.</w:t>
      </w:r>
    </w:p>
    <w:p w:rsidR="00D1529B"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p>
    <w:p w:rsidR="00CC2FE3" w:rsidRPr="00D13D8E" w:rsidRDefault="00D1529B" w:rsidP="00D1529B">
      <w:pPr>
        <w:autoSpaceDE w:val="0"/>
        <w:autoSpaceDN w:val="0"/>
        <w:adjustRightInd w:val="0"/>
        <w:spacing w:after="0" w:line="240" w:lineRule="auto"/>
        <w:jc w:val="center"/>
        <w:rPr>
          <w:rFonts w:ascii="Arial" w:eastAsia="Times New Roman" w:hAnsi="Arial" w:cs="Arial"/>
          <w:bCs/>
          <w:color w:val="000000" w:themeColor="text1"/>
          <w:sz w:val="18"/>
          <w:szCs w:val="18"/>
        </w:rPr>
      </w:pPr>
      <w:r w:rsidRPr="00D13D8E">
        <w:rPr>
          <w:rFonts w:ascii="Arial" w:eastAsia="Times New Roman" w:hAnsi="Arial" w:cs="Arial"/>
          <w:bCs/>
          <w:color w:val="000000" w:themeColor="text1"/>
          <w:sz w:val="18"/>
          <w:szCs w:val="18"/>
          <w:vertAlign w:val="superscript"/>
        </w:rPr>
        <w:t>4</w:t>
      </w:r>
      <w:r w:rsidR="00CC2FE3" w:rsidRPr="00D13D8E">
        <w:rPr>
          <w:rFonts w:ascii="Arial" w:eastAsia="Times New Roman" w:hAnsi="Arial" w:cs="Arial"/>
          <w:bCs/>
          <w:color w:val="000000" w:themeColor="text1"/>
          <w:sz w:val="18"/>
          <w:szCs w:val="18"/>
        </w:rPr>
        <w:t>Pediatric Radiology Department, Moham</w:t>
      </w:r>
      <w:r w:rsidR="00B45340" w:rsidRPr="00D13D8E">
        <w:rPr>
          <w:rFonts w:ascii="Arial" w:eastAsia="Times New Roman" w:hAnsi="Arial" w:cs="Arial"/>
          <w:bCs/>
          <w:color w:val="000000" w:themeColor="text1"/>
          <w:sz w:val="18"/>
          <w:szCs w:val="18"/>
        </w:rPr>
        <w:t>m</w:t>
      </w:r>
      <w:r w:rsidR="00CC2FE3" w:rsidRPr="00D13D8E">
        <w:rPr>
          <w:rFonts w:ascii="Arial" w:eastAsia="Times New Roman" w:hAnsi="Arial" w:cs="Arial"/>
          <w:bCs/>
          <w:color w:val="000000" w:themeColor="text1"/>
          <w:sz w:val="18"/>
          <w:szCs w:val="18"/>
        </w:rPr>
        <w:t>ed VI University Hospital of Marrakesh, Morocco.</w:t>
      </w:r>
    </w:p>
    <w:p w:rsidR="00963F65" w:rsidRPr="00D13D8E" w:rsidRDefault="00963F65" w:rsidP="00D1529B">
      <w:pPr>
        <w:spacing w:after="0" w:line="240" w:lineRule="auto"/>
        <w:jc w:val="center"/>
        <w:rPr>
          <w:rFonts w:ascii="Arial" w:hAnsi="Arial" w:cs="Arial"/>
          <w:b/>
          <w:bCs/>
          <w:color w:val="000000" w:themeColor="text1"/>
          <w:sz w:val="18"/>
          <w:szCs w:val="18"/>
          <w:lang w:val="en-US"/>
        </w:rPr>
      </w:pPr>
    </w:p>
    <w:p w:rsidR="00D1529B" w:rsidRPr="00D13D8E" w:rsidRDefault="00D1529B" w:rsidP="00D1529B">
      <w:pPr>
        <w:autoSpaceDE w:val="0"/>
        <w:autoSpaceDN w:val="0"/>
        <w:adjustRightInd w:val="0"/>
        <w:spacing w:after="0" w:line="240" w:lineRule="auto"/>
        <w:jc w:val="center"/>
        <w:rPr>
          <w:rFonts w:ascii="Arial" w:hAnsi="Arial" w:cs="Arial"/>
          <w:b/>
          <w:bCs/>
          <w:color w:val="000000" w:themeColor="text1"/>
          <w:sz w:val="18"/>
          <w:szCs w:val="18"/>
        </w:rPr>
      </w:pPr>
      <w:r w:rsidRPr="00D13D8E">
        <w:rPr>
          <w:rFonts w:ascii="Arial" w:hAnsi="Arial" w:cs="Arial"/>
          <w:b/>
          <w:bCs/>
          <w:color w:val="000000" w:themeColor="text1"/>
          <w:sz w:val="18"/>
          <w:szCs w:val="18"/>
        </w:rPr>
        <w:t xml:space="preserve">*Corresponding Author’s E-mail: </w:t>
      </w:r>
      <w:hyperlink r:id="rId9" w:history="1">
        <w:r w:rsidRPr="00D13D8E">
          <w:rPr>
            <w:rStyle w:val="Hyperlink"/>
            <w:rFonts w:ascii="Arial" w:hAnsi="Arial" w:cs="Arial"/>
            <w:b/>
            <w:bCs/>
            <w:color w:val="000000" w:themeColor="text1"/>
            <w:sz w:val="18"/>
            <w:szCs w:val="18"/>
            <w:u w:val="none"/>
          </w:rPr>
          <w:t>adilfouad@hotmail.fr</w:t>
        </w:r>
      </w:hyperlink>
    </w:p>
    <w:p w:rsidR="00376806" w:rsidRPr="00D13D8E" w:rsidRDefault="00376806" w:rsidP="00D1529B">
      <w:pPr>
        <w:spacing w:after="0" w:line="240" w:lineRule="auto"/>
        <w:jc w:val="center"/>
        <w:rPr>
          <w:rFonts w:ascii="Arial" w:hAnsi="Arial" w:cs="Arial"/>
          <w:color w:val="000000" w:themeColor="text1"/>
          <w:sz w:val="20"/>
          <w:szCs w:val="20"/>
          <w:lang w:val="en-US"/>
        </w:rPr>
      </w:pPr>
      <w:r w:rsidRPr="00D13D8E">
        <w:rPr>
          <w:rFonts w:ascii="Arial" w:hAnsi="Arial" w:cs="Arial"/>
          <w:b/>
          <w:bCs/>
          <w:color w:val="000000" w:themeColor="text1"/>
          <w:sz w:val="18"/>
          <w:szCs w:val="18"/>
        </w:rPr>
        <w:t>Tel</w:t>
      </w:r>
      <w:r w:rsidRPr="00D13D8E">
        <w:rPr>
          <w:rFonts w:ascii="Arial" w:hAnsi="Arial" w:cs="Arial"/>
          <w:b/>
          <w:bCs/>
          <w:color w:val="000000" w:themeColor="text1"/>
          <w:sz w:val="18"/>
          <w:szCs w:val="18"/>
          <w:lang w:val="en-US"/>
        </w:rPr>
        <w:t xml:space="preserve"> /Fax:</w:t>
      </w:r>
      <w:r w:rsidRPr="00D13D8E">
        <w:rPr>
          <w:rFonts w:ascii="Arial" w:hAnsi="Arial" w:cs="Arial"/>
          <w:color w:val="000000" w:themeColor="text1"/>
          <w:sz w:val="18"/>
          <w:szCs w:val="18"/>
          <w:lang w:val="en-US"/>
        </w:rPr>
        <w:t xml:space="preserve"> +212524300700</w:t>
      </w:r>
    </w:p>
    <w:p w:rsidR="00963F65" w:rsidRPr="00D13D8E" w:rsidRDefault="00963F65" w:rsidP="00D1529B">
      <w:pPr>
        <w:spacing w:after="0" w:line="240" w:lineRule="auto"/>
        <w:jc w:val="center"/>
        <w:rPr>
          <w:rFonts w:ascii="Arial" w:hAnsi="Arial" w:cs="Arial"/>
          <w:color w:val="000000" w:themeColor="text1"/>
          <w:sz w:val="20"/>
          <w:szCs w:val="20"/>
          <w:lang w:val="en-US"/>
        </w:rPr>
      </w:pPr>
    </w:p>
    <w:p w:rsidR="00D1529B" w:rsidRPr="00D13D8E" w:rsidRDefault="00D1529B" w:rsidP="00D1529B">
      <w:pPr>
        <w:pStyle w:val="NormalWeb"/>
        <w:spacing w:before="0" w:beforeAutospacing="0" w:after="0" w:afterAutospacing="0"/>
        <w:jc w:val="both"/>
        <w:rPr>
          <w:rFonts w:ascii="Arial" w:hAnsi="Arial" w:cs="Arial"/>
          <w:b/>
          <w:color w:val="000000" w:themeColor="text1"/>
          <w:sz w:val="20"/>
          <w:szCs w:val="20"/>
          <w:highlight w:val="lightGray"/>
        </w:rPr>
      </w:pPr>
    </w:p>
    <w:p w:rsidR="00D1529B" w:rsidRPr="00D13D8E" w:rsidRDefault="00D1529B" w:rsidP="00D1529B">
      <w:pPr>
        <w:pStyle w:val="NormalWeb"/>
        <w:spacing w:before="0" w:beforeAutospacing="0" w:after="0" w:afterAutospacing="0"/>
        <w:jc w:val="both"/>
        <w:rPr>
          <w:rFonts w:ascii="Arial" w:hAnsi="Arial" w:cs="Arial"/>
          <w:b/>
          <w:color w:val="000000" w:themeColor="text1"/>
          <w:sz w:val="20"/>
          <w:szCs w:val="20"/>
          <w:highlight w:val="lightGray"/>
        </w:rPr>
      </w:pPr>
    </w:p>
    <w:p w:rsidR="00660BD7" w:rsidRPr="00D13D8E" w:rsidRDefault="00660BD7" w:rsidP="00D1529B">
      <w:pPr>
        <w:pStyle w:val="NormalWeb"/>
        <w:spacing w:before="0" w:beforeAutospacing="0" w:after="0" w:afterAutospacing="0"/>
        <w:jc w:val="both"/>
        <w:rPr>
          <w:rFonts w:ascii="Arial" w:hAnsi="Arial" w:cs="Arial"/>
          <w:b/>
          <w:color w:val="000000" w:themeColor="text1"/>
          <w:sz w:val="20"/>
          <w:szCs w:val="20"/>
          <w:highlight w:val="lightGray"/>
        </w:rPr>
      </w:pPr>
      <w:r w:rsidRPr="00D13D8E">
        <w:rPr>
          <w:rFonts w:ascii="Arial" w:hAnsi="Arial" w:cs="Arial"/>
          <w:b/>
          <w:color w:val="000000" w:themeColor="text1"/>
          <w:sz w:val="20"/>
          <w:szCs w:val="20"/>
          <w:highlight w:val="lightGray"/>
        </w:rPr>
        <w:lastRenderedPageBreak/>
        <w:t xml:space="preserve">Alveolar soft part sarcoma is a rare soft tissue sarcoma with a predilection for adolescents and young adults that tends to occur in the extremities. It is a well-differentiated and chemo-resistant solid tumor. Lingual alveolar sarcoma can occur at an early age and appears, in this case, to be chemo-sensitive. </w:t>
      </w:r>
      <w:r w:rsidR="00BE6619" w:rsidRPr="00D13D8E">
        <w:rPr>
          <w:rFonts w:ascii="Arial" w:hAnsi="Arial" w:cs="Arial"/>
          <w:b/>
          <w:color w:val="000000" w:themeColor="text1"/>
          <w:sz w:val="20"/>
          <w:szCs w:val="20"/>
          <w:highlight w:val="lightGray"/>
        </w:rPr>
        <w:t>We report the case of a child with an ASPS of the tongue and the mouth floor with lung metastasis, never yet published in Morocco, and a review of the literature.</w:t>
      </w:r>
      <w:r w:rsidR="00D1529B" w:rsidRPr="00D13D8E">
        <w:rPr>
          <w:rFonts w:ascii="Arial" w:hAnsi="Arial" w:cs="Arial"/>
          <w:b/>
          <w:color w:val="000000" w:themeColor="text1"/>
          <w:sz w:val="20"/>
          <w:szCs w:val="20"/>
          <w:highlight w:val="lightGray"/>
        </w:rPr>
        <w:t xml:space="preserve"> </w:t>
      </w:r>
      <w:r w:rsidRPr="00D13D8E">
        <w:rPr>
          <w:rFonts w:ascii="Arial" w:hAnsi="Arial" w:cs="Arial"/>
          <w:b/>
          <w:color w:val="000000" w:themeColor="text1"/>
          <w:sz w:val="20"/>
          <w:szCs w:val="20"/>
          <w:highlight w:val="lightGray"/>
        </w:rPr>
        <w:t>Alveolar soft part sarcoma of the tongue and the mouth floor was diagnosed in a 13-year-old boy. He had a painful, occasionally bleeding, medio-lingual swelling, spanning the mouth floor and the pharynx, in progression for a year, complicated with dysphagia and dyspnea requiring emergency tracheotomy. He underwent a surgical excision of the mass, and then was treated by chemotherapy. The child died from hemorrhagic shock and worsening of the respiratory distress.</w:t>
      </w:r>
      <w:r w:rsidR="00BE6619" w:rsidRPr="00D13D8E">
        <w:rPr>
          <w:rFonts w:ascii="Arial" w:hAnsi="Arial" w:cs="Arial"/>
          <w:b/>
          <w:color w:val="000000" w:themeColor="text1"/>
          <w:sz w:val="20"/>
          <w:szCs w:val="20"/>
          <w:highlight w:val="lightGray"/>
        </w:rPr>
        <w:t xml:space="preserve"> </w:t>
      </w:r>
      <w:r w:rsidR="00D1529B" w:rsidRPr="00D13D8E">
        <w:rPr>
          <w:rFonts w:ascii="Arial" w:hAnsi="Arial" w:cs="Arial"/>
          <w:b/>
          <w:color w:val="000000" w:themeColor="text1"/>
          <w:sz w:val="20"/>
          <w:szCs w:val="20"/>
          <w:highlight w:val="lightGray"/>
        </w:rPr>
        <w:t xml:space="preserve"> </w:t>
      </w:r>
      <w:r w:rsidR="00BE6619" w:rsidRPr="00D13D8E">
        <w:rPr>
          <w:rFonts w:ascii="Arial" w:hAnsi="Arial" w:cs="Arial"/>
          <w:b/>
          <w:color w:val="000000" w:themeColor="text1"/>
          <w:sz w:val="20"/>
          <w:szCs w:val="20"/>
          <w:highlight w:val="lightGray"/>
        </w:rPr>
        <w:t>ASPS should be included in the differential diagnosis of head and neck masses in children since early detection and treatment are essential. In particular, lingual alveolar sarcoma diagnosed at an early age seems to be chemo-sensitive.</w:t>
      </w:r>
    </w:p>
    <w:p w:rsidR="00963F65" w:rsidRPr="00D13D8E" w:rsidRDefault="00963F65" w:rsidP="00D1529B">
      <w:pPr>
        <w:autoSpaceDE w:val="0"/>
        <w:autoSpaceDN w:val="0"/>
        <w:adjustRightInd w:val="0"/>
        <w:spacing w:after="0" w:line="240" w:lineRule="auto"/>
        <w:jc w:val="both"/>
        <w:rPr>
          <w:rFonts w:ascii="Arial" w:hAnsi="Arial" w:cs="Arial"/>
          <w:b/>
          <w:bCs/>
          <w:color w:val="000000" w:themeColor="text1"/>
          <w:sz w:val="20"/>
          <w:szCs w:val="20"/>
          <w:highlight w:val="lightGray"/>
        </w:rPr>
      </w:pPr>
    </w:p>
    <w:p w:rsidR="00D1529B" w:rsidRPr="00D13D8E" w:rsidRDefault="005D4563" w:rsidP="00D1529B">
      <w:pPr>
        <w:autoSpaceDE w:val="0"/>
        <w:autoSpaceDN w:val="0"/>
        <w:adjustRightInd w:val="0"/>
        <w:spacing w:after="0" w:line="240" w:lineRule="auto"/>
        <w:jc w:val="both"/>
        <w:rPr>
          <w:rFonts w:ascii="Arial" w:hAnsi="Arial" w:cs="Arial"/>
          <w:color w:val="000000" w:themeColor="text1"/>
          <w:sz w:val="20"/>
          <w:szCs w:val="20"/>
          <w:highlight w:val="lightGray"/>
        </w:rPr>
      </w:pPr>
      <w:r w:rsidRPr="00D13D8E">
        <w:rPr>
          <w:rFonts w:ascii="Arial" w:hAnsi="Arial" w:cs="Arial"/>
          <w:b/>
          <w:bCs/>
          <w:color w:val="000000" w:themeColor="text1"/>
          <w:sz w:val="20"/>
          <w:szCs w:val="20"/>
          <w:highlight w:val="lightGray"/>
        </w:rPr>
        <w:t>Keywords:</w:t>
      </w:r>
      <w:r w:rsidRPr="00D13D8E">
        <w:rPr>
          <w:rFonts w:ascii="Arial" w:hAnsi="Arial" w:cs="Arial"/>
          <w:b/>
          <w:color w:val="000000" w:themeColor="text1"/>
          <w:sz w:val="20"/>
          <w:szCs w:val="20"/>
          <w:highlight w:val="lightGray"/>
        </w:rPr>
        <w:t xml:space="preserve"> </w:t>
      </w:r>
      <w:r w:rsidRPr="00D13D8E">
        <w:rPr>
          <w:rFonts w:ascii="Arial" w:hAnsi="Arial" w:cs="Arial"/>
          <w:color w:val="000000" w:themeColor="text1"/>
          <w:sz w:val="20"/>
          <w:szCs w:val="20"/>
          <w:highlight w:val="lightGray"/>
        </w:rPr>
        <w:t xml:space="preserve">Alveolar soft part sarcoma, </w:t>
      </w:r>
      <w:r w:rsidR="007E490C" w:rsidRPr="00D13D8E">
        <w:rPr>
          <w:rFonts w:ascii="Arial" w:hAnsi="Arial" w:cs="Arial"/>
          <w:color w:val="000000" w:themeColor="text1"/>
          <w:sz w:val="20"/>
          <w:szCs w:val="20"/>
          <w:highlight w:val="lightGray"/>
        </w:rPr>
        <w:t>Chemotherapy, Child, Mouth floor, Tongue, Tracheotomy</w:t>
      </w:r>
    </w:p>
    <w:p w:rsidR="00D1529B" w:rsidRPr="00D13D8E" w:rsidRDefault="00D1529B" w:rsidP="00D1529B">
      <w:pPr>
        <w:autoSpaceDE w:val="0"/>
        <w:autoSpaceDN w:val="0"/>
        <w:adjustRightInd w:val="0"/>
        <w:spacing w:after="0" w:line="240" w:lineRule="auto"/>
        <w:jc w:val="both"/>
        <w:rPr>
          <w:rFonts w:ascii="Arial" w:hAnsi="Arial" w:cs="Arial"/>
          <w:color w:val="000000" w:themeColor="text1"/>
          <w:sz w:val="20"/>
          <w:szCs w:val="20"/>
          <w:highlight w:val="lightGray"/>
        </w:rPr>
        <w:sectPr w:rsidR="00D1529B" w:rsidRPr="00D13D8E" w:rsidSect="00D1529B">
          <w:type w:val="continuous"/>
          <w:pgSz w:w="12240" w:h="15840" w:code="1"/>
          <w:pgMar w:top="576" w:right="720" w:bottom="1008" w:left="864" w:header="720" w:footer="720" w:gutter="0"/>
          <w:cols w:num="2" w:space="288" w:equalWidth="0">
            <w:col w:w="3072" w:space="288"/>
            <w:col w:w="7296"/>
          </w:cols>
          <w:docGrid w:linePitch="360"/>
        </w:sectPr>
      </w:pPr>
    </w:p>
    <w:p w:rsidR="005D4563" w:rsidRPr="00D13D8E" w:rsidRDefault="005D4563" w:rsidP="00D1529B">
      <w:pPr>
        <w:autoSpaceDE w:val="0"/>
        <w:autoSpaceDN w:val="0"/>
        <w:adjustRightInd w:val="0"/>
        <w:spacing w:after="0" w:line="240" w:lineRule="auto"/>
        <w:jc w:val="both"/>
        <w:rPr>
          <w:rFonts w:ascii="Arial" w:hAnsi="Arial" w:cs="Arial"/>
          <w:b/>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b/>
          <w:bCs/>
          <w:color w:val="000000" w:themeColor="text1"/>
          <w:sz w:val="20"/>
          <w:szCs w:val="20"/>
        </w:rPr>
      </w:pPr>
    </w:p>
    <w:p w:rsidR="00555C65" w:rsidRPr="00D13D8E" w:rsidRDefault="00D1529B" w:rsidP="00D1529B">
      <w:pPr>
        <w:autoSpaceDE w:val="0"/>
        <w:autoSpaceDN w:val="0"/>
        <w:adjustRightInd w:val="0"/>
        <w:spacing w:after="0" w:line="240" w:lineRule="auto"/>
        <w:jc w:val="both"/>
        <w:rPr>
          <w:rFonts w:ascii="Arial" w:hAnsi="Arial" w:cs="Arial"/>
          <w:b/>
          <w:bCs/>
          <w:color w:val="000000" w:themeColor="text1"/>
          <w:sz w:val="20"/>
          <w:szCs w:val="20"/>
        </w:rPr>
      </w:pPr>
      <w:r w:rsidRPr="00D13D8E">
        <w:rPr>
          <w:rFonts w:ascii="Arial" w:hAnsi="Arial" w:cs="Arial"/>
          <w:b/>
          <w:bCs/>
          <w:color w:val="000000" w:themeColor="text1"/>
          <w:sz w:val="20"/>
          <w:szCs w:val="20"/>
        </w:rPr>
        <w:t>INTRODUCTION</w:t>
      </w:r>
    </w:p>
    <w:p w:rsidR="00D1529B" w:rsidRPr="00D13D8E" w:rsidRDefault="00D1529B" w:rsidP="00D1529B">
      <w:pPr>
        <w:spacing w:after="0" w:line="240" w:lineRule="auto"/>
        <w:jc w:val="both"/>
        <w:rPr>
          <w:rFonts w:ascii="Arial" w:hAnsi="Arial" w:cs="Arial"/>
          <w:b/>
          <w:bCs/>
          <w:color w:val="000000" w:themeColor="text1"/>
          <w:sz w:val="20"/>
          <w:szCs w:val="20"/>
        </w:rPr>
      </w:pPr>
    </w:p>
    <w:p w:rsidR="00D1529B" w:rsidRPr="00D13D8E" w:rsidRDefault="00D1529B" w:rsidP="00D1529B">
      <w:pPr>
        <w:spacing w:after="0" w:line="240" w:lineRule="auto"/>
        <w:jc w:val="both"/>
        <w:rPr>
          <w:rFonts w:ascii="Arial" w:hAnsi="Arial" w:cs="Arial"/>
          <w:color w:val="000000" w:themeColor="text1"/>
          <w:sz w:val="20"/>
          <w:szCs w:val="20"/>
        </w:rPr>
        <w:sectPr w:rsidR="00D1529B" w:rsidRPr="00D13D8E" w:rsidSect="00D1529B">
          <w:type w:val="continuous"/>
          <w:pgSz w:w="12240" w:h="15840" w:code="1"/>
          <w:pgMar w:top="576" w:right="720" w:bottom="1008" w:left="864" w:header="720" w:footer="720" w:gutter="0"/>
          <w:cols w:space="708"/>
          <w:docGrid w:linePitch="360"/>
        </w:sectPr>
      </w:pPr>
    </w:p>
    <w:p w:rsidR="00660BD7" w:rsidRPr="00D13D8E" w:rsidRDefault="00660BD7" w:rsidP="00D1529B">
      <w:pPr>
        <w:spacing w:after="0" w:line="240" w:lineRule="auto"/>
        <w:jc w:val="both"/>
        <w:rPr>
          <w:rFonts w:ascii="Arial" w:eastAsia="Times New Roman" w:hAnsi="Arial" w:cs="Arial"/>
          <w:color w:val="000000" w:themeColor="text1"/>
          <w:sz w:val="20"/>
          <w:szCs w:val="20"/>
        </w:rPr>
      </w:pPr>
      <w:r w:rsidRPr="00D13D8E">
        <w:rPr>
          <w:rFonts w:ascii="Arial" w:hAnsi="Arial" w:cs="Arial"/>
          <w:color w:val="000000" w:themeColor="text1"/>
          <w:sz w:val="20"/>
          <w:szCs w:val="20"/>
        </w:rPr>
        <w:lastRenderedPageBreak/>
        <w:t>Alveolar soft part sarcoma (ASPS) is a rare entity that most commonly affects adolescents and young adults in the extremities, but can occur in the orbit or on the tongue in younger patients</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(Katz AP et al., 2017)</w:t>
      </w:r>
      <w:r w:rsidR="001E229B" w:rsidRPr="00D13D8E">
        <w:rPr>
          <w:rFonts w:ascii="Arial" w:hAnsi="Arial" w:cs="Arial"/>
          <w:color w:val="000000" w:themeColor="text1"/>
          <w:sz w:val="20"/>
          <w:szCs w:val="20"/>
        </w:rPr>
        <w:t>.</w:t>
      </w:r>
      <w:r w:rsidR="00366EAE"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It is characterized by an alm</w:t>
      </w:r>
      <w:r w:rsidR="0028407A" w:rsidRPr="00D13D8E">
        <w:rPr>
          <w:rFonts w:ascii="Arial" w:hAnsi="Arial" w:cs="Arial"/>
          <w:color w:val="000000" w:themeColor="text1"/>
          <w:sz w:val="20"/>
          <w:szCs w:val="20"/>
        </w:rPr>
        <w:t>ost specific translocation t(X,</w:t>
      </w:r>
      <w:r w:rsidRPr="00D13D8E">
        <w:rPr>
          <w:rFonts w:ascii="Arial" w:hAnsi="Arial" w:cs="Arial"/>
          <w:color w:val="000000" w:themeColor="text1"/>
          <w:sz w:val="20"/>
          <w:szCs w:val="20"/>
        </w:rPr>
        <w:t>17) (p11;25) which creates a fusion protein, APSL-TFE3, acting as an aberrant transcription factor</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(Paillard C et al., 2015)</w:t>
      </w:r>
      <w:r w:rsidR="001E229B" w:rsidRPr="00D13D8E">
        <w:rPr>
          <w:rFonts w:ascii="Arial" w:hAnsi="Arial" w:cs="Arial"/>
          <w:color w:val="000000" w:themeColor="text1"/>
          <w:sz w:val="20"/>
          <w:szCs w:val="20"/>
        </w:rPr>
        <w:t>.</w:t>
      </w:r>
      <w:r w:rsidR="00366EAE" w:rsidRPr="00D13D8E">
        <w:rPr>
          <w:rFonts w:ascii="Arial" w:hAnsi="Arial" w:cs="Arial"/>
          <w:color w:val="000000" w:themeColor="text1"/>
          <w:sz w:val="20"/>
          <w:szCs w:val="20"/>
          <w:vertAlign w:val="superscript"/>
        </w:rPr>
        <w:t xml:space="preserve"> </w:t>
      </w:r>
      <w:r w:rsidRPr="00D13D8E">
        <w:rPr>
          <w:rFonts w:ascii="Arial" w:hAnsi="Arial" w:cs="Arial"/>
          <w:color w:val="000000" w:themeColor="text1"/>
          <w:sz w:val="20"/>
          <w:szCs w:val="20"/>
        </w:rPr>
        <w:t>ASPS is a classic chemo-resistant malignant solid tumor. The curative treatment is surgical. It associates the excision of the primary lesion with the resection, sometimes iterative, of possible metastases in the advanced stages. Alveolar sarcoma of the tongue can occur at an early age and appears to be chemo-sensitive</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lastRenderedPageBreak/>
        <w:t>(Marchac A et al., 2007)</w:t>
      </w:r>
      <w:r w:rsidR="00366EAE"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We report the case of a child with an ASPS of the tongue and the mouth floor with lung metastasis, never yet published in Morocco, and a review of the literature.</w:t>
      </w:r>
    </w:p>
    <w:p w:rsidR="00660BD7" w:rsidRPr="00D13D8E" w:rsidRDefault="00660BD7" w:rsidP="00D1529B">
      <w:pPr>
        <w:spacing w:after="0" w:line="240" w:lineRule="auto"/>
        <w:jc w:val="both"/>
        <w:rPr>
          <w:rFonts w:ascii="Arial" w:hAnsi="Arial" w:cs="Arial"/>
          <w:color w:val="000000" w:themeColor="text1"/>
          <w:sz w:val="20"/>
          <w:szCs w:val="20"/>
        </w:rPr>
      </w:pPr>
    </w:p>
    <w:p w:rsidR="00555C65" w:rsidRPr="00D13D8E" w:rsidRDefault="00555C65" w:rsidP="00D1529B">
      <w:pPr>
        <w:autoSpaceDE w:val="0"/>
        <w:autoSpaceDN w:val="0"/>
        <w:adjustRightInd w:val="0"/>
        <w:spacing w:after="0" w:line="240" w:lineRule="auto"/>
        <w:jc w:val="both"/>
        <w:rPr>
          <w:rFonts w:ascii="Arial" w:hAnsi="Arial" w:cs="Arial"/>
          <w:color w:val="000000" w:themeColor="text1"/>
          <w:sz w:val="20"/>
          <w:szCs w:val="20"/>
        </w:rPr>
      </w:pPr>
    </w:p>
    <w:p w:rsidR="00FC45CE" w:rsidRPr="00D13D8E" w:rsidRDefault="00D1529B" w:rsidP="00D1529B">
      <w:pPr>
        <w:autoSpaceDE w:val="0"/>
        <w:autoSpaceDN w:val="0"/>
        <w:adjustRightInd w:val="0"/>
        <w:spacing w:after="0" w:line="240" w:lineRule="auto"/>
        <w:jc w:val="both"/>
        <w:rPr>
          <w:rFonts w:ascii="Arial" w:hAnsi="Arial" w:cs="Arial"/>
          <w:b/>
          <w:bCs/>
          <w:color w:val="000000" w:themeColor="text1"/>
          <w:sz w:val="20"/>
          <w:szCs w:val="20"/>
        </w:rPr>
      </w:pPr>
      <w:r w:rsidRPr="00D13D8E">
        <w:rPr>
          <w:rFonts w:ascii="Arial" w:hAnsi="Arial" w:cs="Arial"/>
          <w:b/>
          <w:bCs/>
          <w:color w:val="000000" w:themeColor="text1"/>
          <w:sz w:val="20"/>
          <w:szCs w:val="20"/>
        </w:rPr>
        <w:t>Case Report</w:t>
      </w:r>
    </w:p>
    <w:p w:rsidR="00963F65" w:rsidRPr="00D13D8E" w:rsidRDefault="00963F65" w:rsidP="00D1529B">
      <w:pPr>
        <w:autoSpaceDE w:val="0"/>
        <w:autoSpaceDN w:val="0"/>
        <w:adjustRightInd w:val="0"/>
        <w:spacing w:after="0" w:line="240" w:lineRule="auto"/>
        <w:jc w:val="both"/>
        <w:rPr>
          <w:rFonts w:ascii="Arial" w:hAnsi="Arial" w:cs="Arial"/>
          <w:b/>
          <w:bCs/>
          <w:color w:val="000000" w:themeColor="text1"/>
          <w:sz w:val="20"/>
          <w:szCs w:val="20"/>
        </w:rPr>
      </w:pPr>
    </w:p>
    <w:p w:rsidR="00C5254F" w:rsidRPr="00D13D8E" w:rsidRDefault="00660BD7" w:rsidP="00D1529B">
      <w:pPr>
        <w:autoSpaceDE w:val="0"/>
        <w:autoSpaceDN w:val="0"/>
        <w:adjustRightInd w:val="0"/>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t xml:space="preserve">A 13-year-old boy, one year </w:t>
      </w:r>
      <w:r w:rsidR="00BE6619" w:rsidRPr="00D13D8E">
        <w:rPr>
          <w:rFonts w:ascii="Arial" w:hAnsi="Arial" w:cs="Arial"/>
          <w:color w:val="000000" w:themeColor="text1"/>
          <w:sz w:val="20"/>
          <w:szCs w:val="20"/>
        </w:rPr>
        <w:t xml:space="preserve">before admission, presented </w:t>
      </w:r>
      <w:r w:rsidRPr="00D13D8E">
        <w:rPr>
          <w:rFonts w:ascii="Arial" w:hAnsi="Arial" w:cs="Arial"/>
          <w:color w:val="000000" w:themeColor="text1"/>
          <w:sz w:val="20"/>
          <w:szCs w:val="20"/>
        </w:rPr>
        <w:t xml:space="preserve">a painless medio-lingual swelling, occasionally bleeding, with no inflammatory signs. Initially, the surgical excision, 7 months after the beginning of the symptoms, noted an epulis. The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patient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presented</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 a recurrence of swelling 5 </w:t>
      </w: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sectPr w:rsidR="00C5254F" w:rsidRPr="00D13D8E" w:rsidSect="00D1529B">
          <w:type w:val="continuous"/>
          <w:pgSz w:w="12240" w:h="15840" w:code="1"/>
          <w:pgMar w:top="576" w:right="720" w:bottom="1008" w:left="864" w:header="720" w:footer="720" w:gutter="0"/>
          <w:cols w:num="2" w:space="432"/>
          <w:docGrid w:linePitch="360"/>
        </w:sectPr>
      </w:pPr>
    </w:p>
    <w:p w:rsidR="00C5254F" w:rsidRPr="00D13D8E" w:rsidRDefault="00D13D8E" w:rsidP="00D13D8E">
      <w:pPr>
        <w:autoSpaceDE w:val="0"/>
        <w:autoSpaceDN w:val="0"/>
        <w:adjustRightInd w:val="0"/>
        <w:spacing w:after="0" w:line="240" w:lineRule="auto"/>
        <w:jc w:val="right"/>
        <w:rPr>
          <w:rFonts w:ascii="Arial" w:hAnsi="Arial" w:cs="Arial"/>
          <w:b/>
          <w:color w:val="000000" w:themeColor="text1"/>
          <w:sz w:val="20"/>
          <w:szCs w:val="20"/>
        </w:rPr>
      </w:pPr>
      <w:r w:rsidRPr="00D13D8E">
        <w:rPr>
          <w:rFonts w:ascii="Arial" w:hAnsi="Arial" w:cs="Arial"/>
          <w:b/>
          <w:color w:val="000000" w:themeColor="text1"/>
          <w:sz w:val="20"/>
          <w:szCs w:val="20"/>
        </w:rPr>
        <w:lastRenderedPageBreak/>
        <w:t>Fouad et al. 025</w:t>
      </w: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C5254F">
      <w:pPr>
        <w:pStyle w:val="NormalWeb"/>
        <w:spacing w:before="0" w:beforeAutospacing="0" w:after="0" w:afterAutospacing="0"/>
        <w:jc w:val="center"/>
        <w:rPr>
          <w:rFonts w:ascii="Arial" w:hAnsi="Arial" w:cs="Arial"/>
          <w:b/>
          <w:bCs/>
          <w:color w:val="000000" w:themeColor="text1"/>
          <w:sz w:val="18"/>
          <w:szCs w:val="18"/>
        </w:rPr>
      </w:pPr>
      <w:r w:rsidRPr="00D13D8E">
        <w:rPr>
          <w:rFonts w:ascii="Arial" w:hAnsi="Arial" w:cs="Arial"/>
          <w:b/>
          <w:bCs/>
          <w:noProof/>
          <w:color w:val="000000" w:themeColor="text1"/>
          <w:sz w:val="18"/>
          <w:szCs w:val="18"/>
          <w:lang w:val="en-US" w:eastAsia="en-US"/>
        </w:rPr>
        <w:drawing>
          <wp:inline distT="0" distB="0" distL="0" distR="0">
            <wp:extent cx="2194560" cy="2202180"/>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194560" cy="2202180"/>
                    </a:xfrm>
                    <a:prstGeom prst="rect">
                      <a:avLst/>
                    </a:prstGeom>
                    <a:noFill/>
                  </pic:spPr>
                </pic:pic>
              </a:graphicData>
            </a:graphic>
          </wp:inline>
        </w:drawing>
      </w:r>
    </w:p>
    <w:p w:rsidR="00C5254F" w:rsidRPr="00D13D8E" w:rsidRDefault="00C5254F" w:rsidP="00C5254F">
      <w:pPr>
        <w:pStyle w:val="NormalWeb"/>
        <w:spacing w:before="0" w:beforeAutospacing="0" w:after="0" w:afterAutospacing="0"/>
        <w:ind w:left="3690" w:right="3636"/>
        <w:jc w:val="both"/>
        <w:rPr>
          <w:rFonts w:ascii="Arial" w:hAnsi="Arial" w:cs="Arial"/>
          <w:b/>
          <w:bCs/>
          <w:color w:val="000000" w:themeColor="text1"/>
          <w:sz w:val="8"/>
          <w:szCs w:val="8"/>
        </w:rPr>
      </w:pPr>
    </w:p>
    <w:p w:rsidR="00C5254F" w:rsidRPr="00D13D8E" w:rsidRDefault="00C5254F" w:rsidP="00C5254F">
      <w:pPr>
        <w:pStyle w:val="NormalWeb"/>
        <w:spacing w:before="0" w:beforeAutospacing="0" w:after="0" w:afterAutospacing="0"/>
        <w:ind w:left="3690" w:right="3636"/>
        <w:jc w:val="both"/>
        <w:rPr>
          <w:rFonts w:ascii="Arial" w:hAnsi="Arial" w:cs="Arial"/>
          <w:color w:val="000000" w:themeColor="text1"/>
          <w:sz w:val="17"/>
          <w:szCs w:val="17"/>
        </w:rPr>
      </w:pPr>
      <w:r w:rsidRPr="00D13D8E">
        <w:rPr>
          <w:rFonts w:ascii="Arial" w:hAnsi="Arial" w:cs="Arial"/>
          <w:b/>
          <w:bCs/>
          <w:color w:val="000000" w:themeColor="text1"/>
          <w:sz w:val="17"/>
          <w:szCs w:val="17"/>
        </w:rPr>
        <w:t xml:space="preserve">Figure 1. </w:t>
      </w:r>
      <w:r w:rsidRPr="00D13D8E">
        <w:rPr>
          <w:rFonts w:ascii="Arial" w:hAnsi="Arial" w:cs="Arial"/>
          <w:color w:val="000000" w:themeColor="text1"/>
          <w:sz w:val="17"/>
          <w:szCs w:val="17"/>
        </w:rPr>
        <w:t>Swelling of the mouth floor with a small erythematous papule.</w:t>
      </w: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C5254F">
      <w:pPr>
        <w:spacing w:after="0" w:line="240" w:lineRule="auto"/>
        <w:jc w:val="center"/>
        <w:rPr>
          <w:rFonts w:ascii="Arial" w:hAnsi="Arial" w:cs="Arial"/>
          <w:b/>
          <w:bCs/>
          <w:color w:val="000000" w:themeColor="text1"/>
          <w:sz w:val="18"/>
          <w:szCs w:val="18"/>
        </w:rPr>
      </w:pPr>
      <w:r w:rsidRPr="00D13D8E">
        <w:rPr>
          <w:noProof/>
          <w:color w:val="000000" w:themeColor="text1"/>
          <w:sz w:val="18"/>
          <w:szCs w:val="18"/>
          <w:lang w:val="en-US"/>
        </w:rPr>
        <w:drawing>
          <wp:inline distT="0" distB="0" distL="0" distR="0">
            <wp:extent cx="4848225" cy="2266950"/>
            <wp:effectExtent l="0" t="0" r="952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r="18690"/>
                    <a:stretch>
                      <a:fillRect/>
                    </a:stretch>
                  </pic:blipFill>
                  <pic:spPr bwMode="auto">
                    <a:xfrm>
                      <a:off x="0" y="0"/>
                      <a:ext cx="4848225" cy="2266950"/>
                    </a:xfrm>
                    <a:prstGeom prst="rect">
                      <a:avLst/>
                    </a:prstGeom>
                    <a:noFill/>
                    <a:ln w="9525">
                      <a:noFill/>
                      <a:miter lim="800000"/>
                      <a:headEnd/>
                      <a:tailEnd/>
                    </a:ln>
                  </pic:spPr>
                </pic:pic>
              </a:graphicData>
            </a:graphic>
          </wp:inline>
        </w:drawing>
      </w:r>
    </w:p>
    <w:p w:rsidR="00C5254F" w:rsidRPr="00D13D8E" w:rsidRDefault="00C5254F" w:rsidP="00C5254F">
      <w:pPr>
        <w:spacing w:after="0" w:line="240" w:lineRule="auto"/>
        <w:ind w:left="1620" w:right="1566"/>
        <w:jc w:val="both"/>
        <w:rPr>
          <w:rFonts w:ascii="Arial" w:hAnsi="Arial" w:cs="Arial"/>
          <w:b/>
          <w:bCs/>
          <w:color w:val="000000" w:themeColor="text1"/>
          <w:sz w:val="8"/>
          <w:szCs w:val="8"/>
        </w:rPr>
      </w:pPr>
    </w:p>
    <w:p w:rsidR="00C5254F" w:rsidRPr="00D13D8E" w:rsidRDefault="00C5254F" w:rsidP="00C5254F">
      <w:pPr>
        <w:spacing w:after="0" w:line="240" w:lineRule="auto"/>
        <w:ind w:left="1620" w:right="1566"/>
        <w:jc w:val="both"/>
        <w:rPr>
          <w:rFonts w:ascii="Arial" w:hAnsi="Arial" w:cs="Arial"/>
          <w:b/>
          <w:bCs/>
          <w:color w:val="000000" w:themeColor="text1"/>
          <w:sz w:val="17"/>
          <w:szCs w:val="17"/>
        </w:rPr>
      </w:pPr>
      <w:r w:rsidRPr="00D13D8E">
        <w:rPr>
          <w:rFonts w:ascii="Arial" w:hAnsi="Arial" w:cs="Arial"/>
          <w:b/>
          <w:bCs/>
          <w:color w:val="000000" w:themeColor="text1"/>
          <w:sz w:val="17"/>
          <w:szCs w:val="17"/>
        </w:rPr>
        <w:t xml:space="preserve">Figure 2. </w:t>
      </w:r>
      <w:r w:rsidRPr="00D13D8E">
        <w:rPr>
          <w:rFonts w:ascii="Arial" w:hAnsi="Arial" w:cs="Arial"/>
          <w:color w:val="000000" w:themeColor="text1"/>
          <w:sz w:val="17"/>
          <w:szCs w:val="17"/>
        </w:rPr>
        <w:t>CT scan showing an endo-buccal tumor process locally infiltrating and completely obstructing the oropharyngeal lumen.</w:t>
      </w: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sectPr w:rsidR="00C5254F" w:rsidRPr="00D13D8E" w:rsidSect="00C5254F">
          <w:type w:val="continuous"/>
          <w:pgSz w:w="12240" w:h="15840" w:code="1"/>
          <w:pgMar w:top="576" w:right="720" w:bottom="1008" w:left="864" w:header="720" w:footer="720" w:gutter="0"/>
          <w:cols w:space="432"/>
          <w:docGrid w:linePitch="360"/>
        </w:sectPr>
      </w:pPr>
    </w:p>
    <w:p w:rsidR="00660BD7" w:rsidRPr="00D13D8E" w:rsidRDefault="00660BD7" w:rsidP="00D1529B">
      <w:pPr>
        <w:autoSpaceDE w:val="0"/>
        <w:autoSpaceDN w:val="0"/>
        <w:adjustRightInd w:val="0"/>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lastRenderedPageBreak/>
        <w:t>months after the surgical excision, stretching from the mouth floor to the pharynx, with a small erythematous papule on the mass, which bled upon contact (Fig</w:t>
      </w:r>
      <w:r w:rsidR="00D1529B" w:rsidRPr="00D13D8E">
        <w:rPr>
          <w:rFonts w:ascii="Arial" w:hAnsi="Arial" w:cs="Arial"/>
          <w:color w:val="000000" w:themeColor="text1"/>
          <w:sz w:val="20"/>
          <w:szCs w:val="20"/>
        </w:rPr>
        <w:t xml:space="preserve">ure </w:t>
      </w:r>
      <w:r w:rsidRPr="00D13D8E">
        <w:rPr>
          <w:rFonts w:ascii="Arial" w:hAnsi="Arial" w:cs="Arial"/>
          <w:color w:val="000000" w:themeColor="text1"/>
          <w:sz w:val="20"/>
          <w:szCs w:val="20"/>
        </w:rPr>
        <w:t xml:space="preserve">1); right jugulo-carotid lymphadenopathy measuring 1.5x1cm, with dysphagia, snoring, and stage 3 dyspnea on the NYHA scale, requiring emergency tracheotomy. </w:t>
      </w:r>
      <w:r w:rsidR="00750B44" w:rsidRPr="00D13D8E">
        <w:rPr>
          <w:rFonts w:ascii="Arial" w:hAnsi="Arial" w:cs="Arial"/>
          <w:color w:val="000000" w:themeColor="text1"/>
          <w:sz w:val="20"/>
          <w:szCs w:val="20"/>
        </w:rPr>
        <w:t>Computed Tomography (</w:t>
      </w:r>
      <w:r w:rsidRPr="00D13D8E">
        <w:rPr>
          <w:rFonts w:ascii="Arial" w:hAnsi="Arial" w:cs="Arial"/>
          <w:color w:val="000000" w:themeColor="text1"/>
          <w:sz w:val="20"/>
          <w:szCs w:val="20"/>
        </w:rPr>
        <w:t>CT</w:t>
      </w:r>
      <w:r w:rsidR="00750B44" w:rsidRPr="00D13D8E">
        <w:rPr>
          <w:rFonts w:ascii="Arial" w:hAnsi="Arial" w:cs="Arial"/>
          <w:color w:val="000000" w:themeColor="text1"/>
          <w:sz w:val="20"/>
          <w:szCs w:val="20"/>
        </w:rPr>
        <w:t>)</w:t>
      </w:r>
      <w:r w:rsidRPr="00D13D8E">
        <w:rPr>
          <w:rFonts w:ascii="Arial" w:hAnsi="Arial" w:cs="Arial"/>
          <w:color w:val="000000" w:themeColor="text1"/>
          <w:sz w:val="20"/>
          <w:szCs w:val="20"/>
        </w:rPr>
        <w:t xml:space="preserve"> showed an endo-buccal tumor process measuring 7.4x7.3 cm, locally infiltrating and completely obstructing the oropharyngeal lumen (Fig</w:t>
      </w:r>
      <w:r w:rsidR="00D1529B" w:rsidRPr="00D13D8E">
        <w:rPr>
          <w:rFonts w:ascii="Arial" w:hAnsi="Arial" w:cs="Arial"/>
          <w:color w:val="000000" w:themeColor="text1"/>
          <w:sz w:val="20"/>
          <w:szCs w:val="20"/>
        </w:rPr>
        <w:t xml:space="preserve">ure </w:t>
      </w:r>
      <w:r w:rsidRPr="00D13D8E">
        <w:rPr>
          <w:rFonts w:ascii="Arial" w:hAnsi="Arial" w:cs="Arial"/>
          <w:color w:val="000000" w:themeColor="text1"/>
          <w:sz w:val="20"/>
          <w:szCs w:val="20"/>
        </w:rPr>
        <w:t xml:space="preserve">2), associated with thrombosis of the right external jugular vein, as well as pulmonary nodules and micronodules. The 2nd surgical excision of the mass confirmed lingual alveolar sarcoma of the tongue and the mouth floor without bone marrow infiltration. It was decided that the patient </w:t>
      </w:r>
      <w:r w:rsidR="00750B44" w:rsidRPr="00D13D8E">
        <w:rPr>
          <w:rFonts w:ascii="Arial" w:hAnsi="Arial" w:cs="Arial"/>
          <w:color w:val="000000" w:themeColor="text1"/>
          <w:sz w:val="20"/>
          <w:szCs w:val="20"/>
        </w:rPr>
        <w:t xml:space="preserve">be put on the MMT 2005 </w:t>
      </w:r>
      <w:r w:rsidRPr="00D13D8E">
        <w:rPr>
          <w:rFonts w:ascii="Arial" w:hAnsi="Arial" w:cs="Arial"/>
          <w:color w:val="000000" w:themeColor="text1"/>
          <w:sz w:val="20"/>
          <w:szCs w:val="20"/>
        </w:rPr>
        <w:t xml:space="preserve">protocol (malignant mesenchymal tumors of the child) IVADO </w:t>
      </w:r>
      <w:r w:rsidRPr="00D13D8E">
        <w:rPr>
          <w:rFonts w:ascii="Arial" w:hAnsi="Arial" w:cs="Arial"/>
          <w:color w:val="000000" w:themeColor="text1"/>
          <w:sz w:val="20"/>
          <w:szCs w:val="20"/>
        </w:rPr>
        <w:lastRenderedPageBreak/>
        <w:t>cures (Vincristine, Actinomycin, Doxorubicin, and Ifosfamide). The child died on Day 7 of the protocol from hemorrhagic shock and aggravation of the respiratory distress.</w:t>
      </w:r>
    </w:p>
    <w:p w:rsidR="00831DC3" w:rsidRPr="00D13D8E" w:rsidRDefault="00831DC3" w:rsidP="00D1529B">
      <w:pPr>
        <w:autoSpaceDE w:val="0"/>
        <w:autoSpaceDN w:val="0"/>
        <w:adjustRightInd w:val="0"/>
        <w:spacing w:after="0" w:line="240" w:lineRule="auto"/>
        <w:jc w:val="both"/>
        <w:rPr>
          <w:rFonts w:ascii="Arial" w:hAnsi="Arial" w:cs="Arial"/>
          <w:b/>
          <w:bCs/>
          <w:color w:val="000000" w:themeColor="text1"/>
          <w:sz w:val="20"/>
          <w:szCs w:val="20"/>
        </w:rPr>
      </w:pPr>
    </w:p>
    <w:p w:rsidR="00963F65" w:rsidRPr="00D13D8E" w:rsidRDefault="00963F65" w:rsidP="00D1529B">
      <w:pPr>
        <w:autoSpaceDE w:val="0"/>
        <w:autoSpaceDN w:val="0"/>
        <w:adjustRightInd w:val="0"/>
        <w:spacing w:after="0" w:line="240" w:lineRule="auto"/>
        <w:jc w:val="both"/>
        <w:rPr>
          <w:rFonts w:ascii="Arial" w:hAnsi="Arial" w:cs="Arial"/>
          <w:b/>
          <w:bCs/>
          <w:color w:val="000000" w:themeColor="text1"/>
          <w:sz w:val="20"/>
          <w:szCs w:val="20"/>
        </w:rPr>
      </w:pPr>
    </w:p>
    <w:p w:rsidR="00831DC3" w:rsidRPr="00D13D8E" w:rsidRDefault="00D1529B" w:rsidP="00D1529B">
      <w:pPr>
        <w:autoSpaceDE w:val="0"/>
        <w:autoSpaceDN w:val="0"/>
        <w:adjustRightInd w:val="0"/>
        <w:spacing w:after="0" w:line="240" w:lineRule="auto"/>
        <w:jc w:val="both"/>
        <w:rPr>
          <w:rFonts w:ascii="Arial" w:hAnsi="Arial" w:cs="Arial"/>
          <w:b/>
          <w:bCs/>
          <w:color w:val="000000" w:themeColor="text1"/>
          <w:sz w:val="20"/>
          <w:szCs w:val="20"/>
        </w:rPr>
      </w:pPr>
      <w:r w:rsidRPr="00D13D8E">
        <w:rPr>
          <w:rFonts w:ascii="Arial" w:hAnsi="Arial" w:cs="Arial"/>
          <w:b/>
          <w:bCs/>
          <w:color w:val="000000" w:themeColor="text1"/>
          <w:sz w:val="20"/>
          <w:szCs w:val="20"/>
        </w:rPr>
        <w:t>DISCUSSION</w:t>
      </w:r>
    </w:p>
    <w:p w:rsidR="00963F65" w:rsidRPr="00D13D8E" w:rsidRDefault="00963F65"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660BD7" w:rsidP="00D1529B">
      <w:pPr>
        <w:pStyle w:val="NormalWeb"/>
        <w:spacing w:before="0" w:beforeAutospacing="0" w:after="0" w:afterAutospacing="0"/>
        <w:jc w:val="both"/>
        <w:rPr>
          <w:rFonts w:ascii="Arial" w:hAnsi="Arial" w:cs="Arial"/>
          <w:color w:val="000000" w:themeColor="text1"/>
          <w:sz w:val="20"/>
          <w:szCs w:val="20"/>
        </w:rPr>
      </w:pPr>
      <w:r w:rsidRPr="00D13D8E">
        <w:rPr>
          <w:rFonts w:ascii="Arial" w:hAnsi="Arial" w:cs="Arial"/>
          <w:color w:val="000000" w:themeColor="text1"/>
          <w:sz w:val="20"/>
          <w:szCs w:val="20"/>
        </w:rPr>
        <w:t xml:space="preserve">Sarcomas are rare malignant tumors of mesenchymal origin, developed from connective tissues. Sarcomas exhibit a wide pathological diversity with more than 70 histological subtypes and a growing number of molecular subtypes. They develop at any age, children included. They can occur anatomically from head to toe and they are of variable aggressiveness even within the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same histological subtype. Three categories of sarcomas </w:t>
      </w:r>
    </w:p>
    <w:p w:rsidR="00C5254F" w:rsidRPr="00D13D8E" w:rsidRDefault="00D13D8E" w:rsidP="00D1529B">
      <w:pPr>
        <w:pStyle w:val="NormalWeb"/>
        <w:spacing w:before="0" w:beforeAutospacing="0" w:after="0" w:afterAutospacing="0"/>
        <w:jc w:val="both"/>
        <w:rPr>
          <w:rFonts w:ascii="Arial" w:hAnsi="Arial" w:cs="Arial"/>
          <w:b/>
          <w:color w:val="000000" w:themeColor="text1"/>
          <w:sz w:val="20"/>
          <w:szCs w:val="20"/>
        </w:rPr>
      </w:pPr>
      <w:r w:rsidRPr="00D13D8E">
        <w:rPr>
          <w:rFonts w:ascii="Arial" w:hAnsi="Arial" w:cs="Arial"/>
          <w:b/>
          <w:color w:val="000000" w:themeColor="text1"/>
          <w:sz w:val="20"/>
          <w:szCs w:val="20"/>
        </w:rPr>
        <w:lastRenderedPageBreak/>
        <w:t>026 Merit Res. J. Med. Med. Sci.</w:t>
      </w:r>
    </w:p>
    <w:p w:rsidR="00C5254F" w:rsidRPr="00D13D8E" w:rsidRDefault="00C5254F" w:rsidP="00D1529B">
      <w:pPr>
        <w:pStyle w:val="NormalWeb"/>
        <w:spacing w:before="0" w:beforeAutospacing="0" w:after="0" w:afterAutospacing="0"/>
        <w:jc w:val="both"/>
        <w:rPr>
          <w:rFonts w:ascii="Arial" w:hAnsi="Arial" w:cs="Arial"/>
          <w:color w:val="000000" w:themeColor="text1"/>
          <w:sz w:val="20"/>
          <w:szCs w:val="20"/>
        </w:rPr>
      </w:pPr>
    </w:p>
    <w:p w:rsidR="00C5254F" w:rsidRPr="00D13D8E" w:rsidRDefault="00C5254F" w:rsidP="00D1529B">
      <w:pPr>
        <w:pStyle w:val="NormalWeb"/>
        <w:spacing w:before="0" w:beforeAutospacing="0" w:after="0" w:afterAutospacing="0"/>
        <w:jc w:val="both"/>
        <w:rPr>
          <w:rFonts w:ascii="Arial" w:hAnsi="Arial" w:cs="Arial"/>
          <w:color w:val="000000" w:themeColor="text1"/>
          <w:sz w:val="20"/>
          <w:szCs w:val="20"/>
        </w:rPr>
      </w:pPr>
    </w:p>
    <w:p w:rsidR="00C5254F" w:rsidRPr="00D13D8E" w:rsidRDefault="00C5254F" w:rsidP="00D1529B">
      <w:pPr>
        <w:pStyle w:val="NormalWeb"/>
        <w:spacing w:before="0" w:beforeAutospacing="0" w:after="0" w:afterAutospacing="0"/>
        <w:jc w:val="both"/>
        <w:rPr>
          <w:rFonts w:ascii="Arial" w:hAnsi="Arial" w:cs="Arial"/>
          <w:color w:val="000000" w:themeColor="text1"/>
          <w:sz w:val="20"/>
          <w:szCs w:val="20"/>
        </w:rPr>
      </w:pPr>
    </w:p>
    <w:p w:rsidR="00660BD7" w:rsidRPr="00D13D8E" w:rsidRDefault="00660BD7" w:rsidP="00D1529B">
      <w:pPr>
        <w:pStyle w:val="NormalWeb"/>
        <w:spacing w:before="0" w:beforeAutospacing="0" w:after="0" w:afterAutospacing="0"/>
        <w:jc w:val="both"/>
        <w:rPr>
          <w:rFonts w:ascii="Arial" w:hAnsi="Arial" w:cs="Arial"/>
          <w:color w:val="000000" w:themeColor="text1"/>
          <w:sz w:val="20"/>
          <w:szCs w:val="20"/>
        </w:rPr>
      </w:pPr>
      <w:r w:rsidRPr="00D13D8E">
        <w:rPr>
          <w:rFonts w:ascii="Arial" w:hAnsi="Arial" w:cs="Arial"/>
          <w:color w:val="000000" w:themeColor="text1"/>
          <w:sz w:val="20"/>
          <w:szCs w:val="20"/>
        </w:rPr>
        <w:t>corresponding to different clinico-pathological entities of individually specific evolutions and whose treatments are distinct, are distinguished: bone sarcomas, visceral sarcomas and soft part sarco</w:t>
      </w:r>
      <w:r w:rsidR="001E229B" w:rsidRPr="00D13D8E">
        <w:rPr>
          <w:rFonts w:ascii="Arial" w:hAnsi="Arial" w:cs="Arial"/>
          <w:color w:val="000000" w:themeColor="text1"/>
          <w:sz w:val="20"/>
          <w:szCs w:val="20"/>
        </w:rPr>
        <w:t>mas (SPS)</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 xml:space="preserve">(Honoré C et al., </w:t>
      </w:r>
      <w:r w:rsidR="00CD3F65" w:rsidRPr="00D13D8E">
        <w:rPr>
          <w:rFonts w:ascii="Arial" w:eastAsia="HBPJO P+ MTSYB" w:hAnsi="Arial" w:cs="Arial"/>
          <w:bCs/>
          <w:color w:val="000000" w:themeColor="text1"/>
          <w:sz w:val="20"/>
          <w:szCs w:val="20"/>
        </w:rPr>
        <w:t>2015)</w:t>
      </w:r>
      <w:r w:rsidR="001E229B" w:rsidRPr="00D13D8E">
        <w:rPr>
          <w:rFonts w:ascii="Arial" w:hAnsi="Arial" w:cs="Arial"/>
          <w:color w:val="000000" w:themeColor="text1"/>
          <w:sz w:val="20"/>
          <w:szCs w:val="20"/>
        </w:rPr>
        <w:t>.</w:t>
      </w:r>
    </w:p>
    <w:p w:rsidR="00660BD7" w:rsidRPr="00D13D8E" w:rsidRDefault="00660BD7" w:rsidP="00D1529B">
      <w:pPr>
        <w:autoSpaceDE w:val="0"/>
        <w:autoSpaceDN w:val="0"/>
        <w:adjustRightInd w:val="0"/>
        <w:spacing w:after="0" w:line="240" w:lineRule="auto"/>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Alveolar soft part sarcoma (ASPS) is a rare tumor that accounts for 0.5 to 1% of soft tissue sarcomas and 5% of non-rhabdomyosarcomatous sarcomas in children. The incidence is higher between ages 15 and 35. ASPS arises from skeletal muscles. The histopathogenesis of this disease is not fully known yet. Previous reports have described ASPS as a potentially fatal sarcoma because distant metastasis often develop either synchr</w:t>
      </w:r>
      <w:r w:rsidR="001E229B" w:rsidRPr="00D13D8E">
        <w:rPr>
          <w:rFonts w:ascii="Arial" w:hAnsi="Arial" w:cs="Arial"/>
          <w:color w:val="000000" w:themeColor="text1"/>
          <w:sz w:val="20"/>
          <w:szCs w:val="20"/>
        </w:rPr>
        <w:t>onously or metachronously</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(Marchac A et al., 2007; Ryu J et al., 2006)</w:t>
      </w:r>
      <w:r w:rsidR="001E229B" w:rsidRPr="00D13D8E">
        <w:rPr>
          <w:rFonts w:ascii="Arial" w:hAnsi="Arial" w:cs="Arial"/>
          <w:color w:val="000000" w:themeColor="text1"/>
          <w:sz w:val="20"/>
          <w:szCs w:val="20"/>
        </w:rPr>
        <w:t>.</w:t>
      </w:r>
      <w:r w:rsidR="00366EAE" w:rsidRPr="00D13D8E">
        <w:rPr>
          <w:rFonts w:ascii="Arial" w:hAnsi="Arial" w:cs="Arial"/>
          <w:color w:val="000000" w:themeColor="text1"/>
          <w:sz w:val="20"/>
          <w:szCs w:val="20"/>
          <w:vertAlign w:val="superscript"/>
        </w:rPr>
        <w:t xml:space="preserve"> </w:t>
      </w:r>
      <w:r w:rsidRPr="00D13D8E">
        <w:rPr>
          <w:rFonts w:ascii="Arial" w:hAnsi="Arial" w:cs="Arial"/>
          <w:color w:val="000000" w:themeColor="text1"/>
          <w:sz w:val="20"/>
          <w:szCs w:val="20"/>
        </w:rPr>
        <w:t xml:space="preserve">It occurs preferentially on the limbs and abdomen, and less frequently at the cephalic extremity where it represents approximately 25% of cases and is localized preferentially in </w:t>
      </w:r>
      <w:r w:rsidR="001E229B" w:rsidRPr="00D13D8E">
        <w:rPr>
          <w:rFonts w:ascii="Arial" w:hAnsi="Arial" w:cs="Arial"/>
          <w:color w:val="000000" w:themeColor="text1"/>
          <w:sz w:val="20"/>
          <w:szCs w:val="20"/>
        </w:rPr>
        <w:t>the orbit and on the tongue</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(Marchac A et al., 2007)</w:t>
      </w:r>
      <w:r w:rsidR="001E229B" w:rsidRPr="00D13D8E">
        <w:rPr>
          <w:rFonts w:ascii="Arial" w:hAnsi="Arial" w:cs="Arial"/>
          <w:color w:val="000000" w:themeColor="text1"/>
          <w:sz w:val="20"/>
          <w:szCs w:val="20"/>
        </w:rPr>
        <w:t>.</w:t>
      </w:r>
    </w:p>
    <w:p w:rsidR="00660BD7" w:rsidRPr="00D13D8E" w:rsidRDefault="00660BD7" w:rsidP="00D1529B">
      <w:pPr>
        <w:pStyle w:val="NormalWeb"/>
        <w:spacing w:before="0" w:beforeAutospacing="0" w:after="0" w:afterAutospacing="0"/>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The mouth floor is a particular anatomic zone of the oral cavity where specific stomatologic diseases can be located, together with some other</w:t>
      </w:r>
      <w:r w:rsidR="001E229B" w:rsidRPr="00D13D8E">
        <w:rPr>
          <w:rFonts w:ascii="Arial" w:hAnsi="Arial" w:cs="Arial"/>
          <w:color w:val="000000" w:themeColor="text1"/>
          <w:sz w:val="20"/>
          <w:szCs w:val="20"/>
        </w:rPr>
        <w:t xml:space="preserve"> lesions of the oral cavity</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(Bouletreau P et al., 2005)</w:t>
      </w:r>
      <w:r w:rsidR="001E229B" w:rsidRPr="00D13D8E">
        <w:rPr>
          <w:rFonts w:ascii="Arial" w:hAnsi="Arial" w:cs="Arial"/>
          <w:color w:val="000000" w:themeColor="text1"/>
          <w:sz w:val="20"/>
          <w:szCs w:val="20"/>
        </w:rPr>
        <w:t>.</w:t>
      </w:r>
      <w:r w:rsidR="003C0E58" w:rsidRPr="00D13D8E">
        <w:rPr>
          <w:rFonts w:ascii="Arial" w:hAnsi="Arial" w:cs="Arial"/>
          <w:color w:val="000000" w:themeColor="text1"/>
          <w:sz w:val="20"/>
          <w:szCs w:val="20"/>
          <w:vertAlign w:val="superscript"/>
        </w:rPr>
        <w:t xml:space="preserve"> </w:t>
      </w:r>
      <w:r w:rsidRPr="00D13D8E">
        <w:rPr>
          <w:rFonts w:ascii="Arial" w:hAnsi="Arial" w:cs="Arial"/>
          <w:color w:val="000000" w:themeColor="text1"/>
          <w:sz w:val="20"/>
          <w:szCs w:val="20"/>
        </w:rPr>
        <w:t>Originally, the occurrence of ASPS within the oral cavity (including the tongue) has been the major pattern of manifestation of this disease within the head and neck regions, especia</w:t>
      </w:r>
      <w:r w:rsidR="001E229B" w:rsidRPr="00D13D8E">
        <w:rPr>
          <w:rFonts w:ascii="Arial" w:hAnsi="Arial" w:cs="Arial"/>
          <w:color w:val="000000" w:themeColor="text1"/>
          <w:sz w:val="20"/>
          <w:szCs w:val="20"/>
        </w:rPr>
        <w:t>lly in infants and children</w:t>
      </w:r>
      <w:r w:rsidR="00CD3F65" w:rsidRPr="00D13D8E">
        <w:rPr>
          <w:rFonts w:ascii="Arial" w:hAnsi="Arial" w:cs="Arial"/>
          <w:color w:val="000000" w:themeColor="text1"/>
          <w:sz w:val="20"/>
          <w:szCs w:val="20"/>
        </w:rPr>
        <w:t xml:space="preserve"> </w:t>
      </w:r>
      <w:r w:rsidR="00CD3F65" w:rsidRPr="00D13D8E">
        <w:rPr>
          <w:rFonts w:ascii="Arial" w:hAnsi="Arial" w:cs="Arial"/>
          <w:bCs/>
          <w:color w:val="000000" w:themeColor="text1"/>
          <w:sz w:val="20"/>
          <w:szCs w:val="20"/>
        </w:rPr>
        <w:t>(Ryu J et al., 2006)</w:t>
      </w:r>
      <w:r w:rsidR="001E229B" w:rsidRPr="00D13D8E">
        <w:rPr>
          <w:rFonts w:ascii="Arial" w:hAnsi="Arial" w:cs="Arial"/>
          <w:color w:val="000000" w:themeColor="text1"/>
          <w:sz w:val="20"/>
          <w:szCs w:val="20"/>
        </w:rPr>
        <w:t>.</w:t>
      </w:r>
    </w:p>
    <w:p w:rsidR="00660BD7" w:rsidRPr="00D13D8E" w:rsidRDefault="00660BD7" w:rsidP="00D1529B">
      <w:pPr>
        <w:pStyle w:val="NormalWeb"/>
        <w:spacing w:before="0" w:beforeAutospacing="0" w:after="0" w:afterAutospacing="0"/>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 xml:space="preserve">The lesion is typically slow growing, and when present in the tongue, patients may have dysphagia, dysarthria, and discomfort. ASPS is often initially misdiagnosed and the proper diagnosis is not made until final surgical pathology. Delay in diagnosis can be devastating as the disease becomes challenging to treat once it metastasizes, lung metastases being present in </w:t>
      </w:r>
      <w:r w:rsidR="001E229B" w:rsidRPr="00D13D8E">
        <w:rPr>
          <w:rFonts w:ascii="Arial" w:hAnsi="Arial" w:cs="Arial"/>
          <w:color w:val="000000" w:themeColor="text1"/>
          <w:sz w:val="20"/>
          <w:szCs w:val="20"/>
        </w:rPr>
        <w:t>65% of cases at diagnosis</w:t>
      </w:r>
      <w:r w:rsidR="000A0672" w:rsidRPr="00D13D8E">
        <w:rPr>
          <w:rFonts w:ascii="Arial" w:hAnsi="Arial" w:cs="Arial"/>
          <w:color w:val="000000" w:themeColor="text1"/>
          <w:sz w:val="20"/>
          <w:szCs w:val="20"/>
        </w:rPr>
        <w:t xml:space="preserve"> </w:t>
      </w:r>
      <w:r w:rsidR="000A0672" w:rsidRPr="00D13D8E">
        <w:rPr>
          <w:rFonts w:ascii="Arial" w:hAnsi="Arial" w:cs="Arial"/>
          <w:bCs/>
          <w:color w:val="000000" w:themeColor="text1"/>
          <w:sz w:val="20"/>
          <w:szCs w:val="20"/>
        </w:rPr>
        <w:t>(Katz AP et al., 2017; Marchac A et al., 2007)</w:t>
      </w:r>
      <w:r w:rsidR="001E229B" w:rsidRPr="00D13D8E">
        <w:rPr>
          <w:rFonts w:ascii="Arial" w:hAnsi="Arial" w:cs="Arial"/>
          <w:color w:val="000000" w:themeColor="text1"/>
          <w:sz w:val="20"/>
          <w:szCs w:val="20"/>
        </w:rPr>
        <w:t>.</w:t>
      </w:r>
      <w:r w:rsidR="003C0E58" w:rsidRPr="00D13D8E">
        <w:rPr>
          <w:rFonts w:ascii="Arial" w:hAnsi="Arial" w:cs="Arial"/>
          <w:color w:val="000000" w:themeColor="text1"/>
          <w:sz w:val="20"/>
          <w:szCs w:val="20"/>
          <w:vertAlign w:val="superscript"/>
        </w:rPr>
        <w:t xml:space="preserve"> </w:t>
      </w:r>
      <w:r w:rsidR="00750B44" w:rsidRPr="00D13D8E">
        <w:rPr>
          <w:rFonts w:ascii="Arial" w:hAnsi="Arial" w:cs="Arial"/>
          <w:color w:val="000000" w:themeColor="text1"/>
          <w:sz w:val="20"/>
          <w:szCs w:val="20"/>
        </w:rPr>
        <w:t>For our patient, the diagnosis was done lately</w:t>
      </w:r>
      <w:r w:rsidRPr="00D13D8E">
        <w:rPr>
          <w:rFonts w:ascii="Arial" w:hAnsi="Arial" w:cs="Arial"/>
          <w:color w:val="000000" w:themeColor="text1"/>
          <w:sz w:val="20"/>
          <w:szCs w:val="20"/>
        </w:rPr>
        <w:t>, one year after the symptomatology, and had a swelling spanning the mouth floor and the pharynx, a small erythematous papule on the mass which bled upon contact, right jugulo-carotid lymphadenopathy, lung metastasis, with dysphagia, snoring, and stage 3 dyspnea on the NYHA scale requiring emergency tracheotomy.</w:t>
      </w:r>
    </w:p>
    <w:p w:rsidR="00C5254F" w:rsidRPr="00D13D8E" w:rsidRDefault="00660BD7" w:rsidP="00D1529B">
      <w:pPr>
        <w:pStyle w:val="NormalWeb"/>
        <w:spacing w:before="0" w:beforeAutospacing="0" w:after="0" w:afterAutospacing="0"/>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Developments in molecular biology have made possible the identification of recurring molecular anomalies in certain subgroups of sarcomas, being able to represent diagnostic, prognostic and therapeutic tools. The molecular classification of SPS includes until today 5 main groups of abnormalities: sarcomas with "simple genomic profile'' showing reciprocal chromosomal translocations, activating mutation, inhibitive mutation or simple amplification; sarcomas with "complex genomic profile'' can include several tens of molecular abnormalities. The development of new targeted therapies is based on the identification of a target specific of</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 a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tumor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subgroup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and</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 involved</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 in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carcinogenesis </w:t>
      </w:r>
    </w:p>
    <w:p w:rsidR="00C5254F" w:rsidRPr="00D13D8E" w:rsidRDefault="00C5254F" w:rsidP="00C5254F">
      <w:pPr>
        <w:pStyle w:val="NormalWeb"/>
        <w:spacing w:before="0" w:beforeAutospacing="0" w:after="0" w:afterAutospacing="0"/>
        <w:jc w:val="both"/>
        <w:rPr>
          <w:rFonts w:ascii="Arial" w:hAnsi="Arial" w:cs="Arial"/>
          <w:color w:val="000000" w:themeColor="text1"/>
          <w:sz w:val="20"/>
          <w:szCs w:val="20"/>
        </w:rPr>
      </w:pPr>
    </w:p>
    <w:p w:rsidR="00C5254F" w:rsidRPr="00D13D8E" w:rsidRDefault="00C5254F" w:rsidP="00C5254F">
      <w:pPr>
        <w:pStyle w:val="NormalWeb"/>
        <w:spacing w:before="0" w:beforeAutospacing="0" w:after="0" w:afterAutospacing="0"/>
        <w:jc w:val="both"/>
        <w:rPr>
          <w:rFonts w:ascii="Arial" w:hAnsi="Arial" w:cs="Arial"/>
          <w:color w:val="000000" w:themeColor="text1"/>
          <w:sz w:val="20"/>
          <w:szCs w:val="20"/>
        </w:rPr>
      </w:pPr>
    </w:p>
    <w:p w:rsidR="00C5254F" w:rsidRPr="00D13D8E" w:rsidRDefault="00C5254F" w:rsidP="00C5254F">
      <w:pPr>
        <w:pStyle w:val="NormalWeb"/>
        <w:spacing w:before="0" w:beforeAutospacing="0" w:after="0" w:afterAutospacing="0"/>
        <w:jc w:val="both"/>
        <w:rPr>
          <w:rFonts w:ascii="Arial" w:hAnsi="Arial" w:cs="Arial"/>
          <w:color w:val="000000" w:themeColor="text1"/>
          <w:sz w:val="20"/>
          <w:szCs w:val="20"/>
        </w:rPr>
      </w:pPr>
    </w:p>
    <w:p w:rsidR="00C5254F" w:rsidRPr="00D13D8E" w:rsidRDefault="00C5254F" w:rsidP="00C5254F">
      <w:pPr>
        <w:pStyle w:val="NormalWeb"/>
        <w:spacing w:before="0" w:beforeAutospacing="0" w:after="0" w:afterAutospacing="0"/>
        <w:jc w:val="both"/>
        <w:rPr>
          <w:rFonts w:ascii="Arial" w:hAnsi="Arial" w:cs="Arial"/>
          <w:color w:val="000000" w:themeColor="text1"/>
          <w:sz w:val="20"/>
          <w:szCs w:val="20"/>
        </w:rPr>
      </w:pPr>
    </w:p>
    <w:p w:rsidR="00660BD7" w:rsidRPr="00D13D8E" w:rsidRDefault="00660BD7" w:rsidP="00C5254F">
      <w:pPr>
        <w:pStyle w:val="NormalWeb"/>
        <w:spacing w:before="0" w:beforeAutospacing="0" w:after="0" w:afterAutospacing="0"/>
        <w:jc w:val="both"/>
        <w:rPr>
          <w:rFonts w:ascii="Arial" w:hAnsi="Arial" w:cs="Arial"/>
          <w:color w:val="000000" w:themeColor="text1"/>
          <w:sz w:val="20"/>
          <w:szCs w:val="20"/>
        </w:rPr>
      </w:pPr>
      <w:r w:rsidRPr="00D13D8E">
        <w:rPr>
          <w:rFonts w:ascii="Arial" w:hAnsi="Arial" w:cs="Arial"/>
          <w:color w:val="000000" w:themeColor="text1"/>
          <w:sz w:val="20"/>
          <w:szCs w:val="20"/>
        </w:rPr>
        <w:t>mec</w:t>
      </w:r>
      <w:r w:rsidR="00D56AFE" w:rsidRPr="00D13D8E">
        <w:rPr>
          <w:rFonts w:ascii="Arial" w:hAnsi="Arial" w:cs="Arial"/>
          <w:color w:val="000000" w:themeColor="text1"/>
          <w:sz w:val="20"/>
          <w:szCs w:val="20"/>
        </w:rPr>
        <w:t>hanisms and/or tumor growth</w:t>
      </w:r>
      <w:r w:rsidR="000A0672" w:rsidRPr="00D13D8E">
        <w:rPr>
          <w:rFonts w:ascii="Arial" w:hAnsi="Arial" w:cs="Arial"/>
          <w:color w:val="000000" w:themeColor="text1"/>
          <w:sz w:val="20"/>
          <w:szCs w:val="20"/>
        </w:rPr>
        <w:t xml:space="preserve"> </w:t>
      </w:r>
      <w:r w:rsidR="000A0672" w:rsidRPr="00D13D8E">
        <w:rPr>
          <w:rFonts w:ascii="Arial" w:hAnsi="Arial" w:cs="Arial"/>
          <w:bCs/>
          <w:color w:val="000000" w:themeColor="text1"/>
          <w:sz w:val="20"/>
          <w:szCs w:val="20"/>
        </w:rPr>
        <w:t>(Dufresne A et al., 2015)</w:t>
      </w:r>
      <w:r w:rsidR="00D56AFE" w:rsidRPr="00D13D8E">
        <w:rPr>
          <w:rFonts w:ascii="Arial" w:hAnsi="Arial" w:cs="Arial"/>
          <w:color w:val="000000" w:themeColor="text1"/>
          <w:sz w:val="20"/>
          <w:szCs w:val="20"/>
        </w:rPr>
        <w:t>.</w:t>
      </w:r>
    </w:p>
    <w:p w:rsidR="00660BD7" w:rsidRPr="00D13D8E" w:rsidRDefault="00660BD7" w:rsidP="00D1529B">
      <w:pPr>
        <w:pStyle w:val="NormalWeb"/>
        <w:spacing w:before="0" w:beforeAutospacing="0" w:after="0" w:afterAutospacing="0"/>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ASPS is considered resista</w:t>
      </w:r>
      <w:r w:rsidR="00750B44" w:rsidRPr="00D13D8E">
        <w:rPr>
          <w:rFonts w:ascii="Arial" w:hAnsi="Arial" w:cs="Arial"/>
          <w:color w:val="000000" w:themeColor="text1"/>
          <w:sz w:val="20"/>
          <w:szCs w:val="20"/>
        </w:rPr>
        <w:t>nt to chemotherapy. The main</w:t>
      </w:r>
      <w:r w:rsidRPr="00D13D8E">
        <w:rPr>
          <w:rFonts w:ascii="Arial" w:hAnsi="Arial" w:cs="Arial"/>
          <w:color w:val="000000" w:themeColor="text1"/>
          <w:sz w:val="20"/>
          <w:szCs w:val="20"/>
        </w:rPr>
        <w:t xml:space="preserve"> treatment is surgical. It associates the excision of the primary lesion with the resection, sometimes iterative, of possible metastases in the advanced stages. Adjuvant treatment modalities such as radiotherapy and chemotherapy are used very rarely. The choice of adjuvant therapy would appear to depend on the empirical setting: clinical findings such as the ability to use complete surgical excision can be a crucial determinant of whether adjuvant treatment be used. It is accepted generally that adjuvant therapy is unnecessary if a small primary lingual ASPS can be resected completely and the patient does not experience clinical recurrence or distant metastasis. The use of novel targeted therapies as systemic treatment for ASPS has rapidly expanded in recent years following identification of the ASPL TFE3 translocation and overexpression of the MET tyrosine kinase receptor. Lingual alveolar sarcoma can occur at an early age and appears to be chemo-sensitive. Follow-up should be prolonged because metastases can occur more than 10 years </w:t>
      </w:r>
      <w:r w:rsidR="00D56AFE" w:rsidRPr="00D13D8E">
        <w:rPr>
          <w:rFonts w:ascii="Arial" w:hAnsi="Arial" w:cs="Arial"/>
          <w:color w:val="000000" w:themeColor="text1"/>
          <w:sz w:val="20"/>
          <w:szCs w:val="20"/>
        </w:rPr>
        <w:t>after initial treatment</w:t>
      </w:r>
      <w:r w:rsidR="000A0672" w:rsidRPr="00D13D8E">
        <w:rPr>
          <w:rFonts w:ascii="Arial" w:hAnsi="Arial" w:cs="Arial"/>
          <w:color w:val="000000" w:themeColor="text1"/>
          <w:sz w:val="20"/>
          <w:szCs w:val="20"/>
        </w:rPr>
        <w:t xml:space="preserve"> </w:t>
      </w:r>
      <w:r w:rsidR="000A0672" w:rsidRPr="00D13D8E">
        <w:rPr>
          <w:rFonts w:ascii="Arial" w:hAnsi="Arial" w:cs="Arial"/>
          <w:bCs/>
          <w:color w:val="000000" w:themeColor="text1"/>
          <w:sz w:val="20"/>
          <w:szCs w:val="20"/>
        </w:rPr>
        <w:t>(Katz AP et al., 2017; Marchac A et al., 2007; Ryu J et al., 2006)</w:t>
      </w:r>
      <w:r w:rsidR="00D56AFE" w:rsidRPr="00D13D8E">
        <w:rPr>
          <w:rFonts w:ascii="Arial" w:hAnsi="Arial" w:cs="Arial"/>
          <w:color w:val="000000" w:themeColor="text1"/>
          <w:sz w:val="20"/>
          <w:szCs w:val="20"/>
        </w:rPr>
        <w:t>.</w:t>
      </w:r>
      <w:r w:rsidR="003C0E58" w:rsidRPr="00D13D8E">
        <w:rPr>
          <w:rFonts w:ascii="Arial" w:hAnsi="Arial" w:cs="Arial"/>
          <w:color w:val="000000" w:themeColor="text1"/>
          <w:sz w:val="20"/>
          <w:szCs w:val="20"/>
          <w:vertAlign w:val="superscript"/>
        </w:rPr>
        <w:t xml:space="preserve"> </w:t>
      </w:r>
      <w:r w:rsidRPr="00D13D8E">
        <w:rPr>
          <w:rFonts w:ascii="Arial" w:hAnsi="Arial" w:cs="Arial"/>
          <w:color w:val="000000" w:themeColor="text1"/>
          <w:sz w:val="20"/>
          <w:szCs w:val="20"/>
        </w:rPr>
        <w:t xml:space="preserve">For our case, it was decided to perform the surgical excision and </w:t>
      </w:r>
      <w:r w:rsidR="00750B44" w:rsidRPr="00D13D8E">
        <w:rPr>
          <w:rFonts w:ascii="Arial" w:hAnsi="Arial" w:cs="Arial"/>
          <w:color w:val="000000" w:themeColor="text1"/>
          <w:sz w:val="20"/>
          <w:szCs w:val="20"/>
        </w:rPr>
        <w:t>secondly chemotherapy becau</w:t>
      </w:r>
      <w:r w:rsidR="00B45340" w:rsidRPr="00D13D8E">
        <w:rPr>
          <w:rFonts w:ascii="Arial" w:hAnsi="Arial" w:cs="Arial"/>
          <w:color w:val="000000" w:themeColor="text1"/>
          <w:sz w:val="20"/>
          <w:szCs w:val="20"/>
        </w:rPr>
        <w:t xml:space="preserve">se of relapse the MMT 2005 </w:t>
      </w:r>
      <w:r w:rsidRPr="00D13D8E">
        <w:rPr>
          <w:rFonts w:ascii="Arial" w:hAnsi="Arial" w:cs="Arial"/>
          <w:color w:val="000000" w:themeColor="text1"/>
          <w:sz w:val="20"/>
          <w:szCs w:val="20"/>
        </w:rPr>
        <w:t>protocol IVADO treatment course (Vincristine, Actinomycin, Doxorubicin, and Ifosfamide). The child died on Day 7 of the protocol from hemorrhagic shock and aggravation of the r</w:t>
      </w:r>
      <w:r w:rsidR="00B45340" w:rsidRPr="00D13D8E">
        <w:rPr>
          <w:rFonts w:ascii="Arial" w:hAnsi="Arial" w:cs="Arial"/>
          <w:color w:val="000000" w:themeColor="text1"/>
          <w:sz w:val="20"/>
          <w:szCs w:val="20"/>
        </w:rPr>
        <w:t>espiratory distress. AP. Katz and</w:t>
      </w:r>
      <w:r w:rsidRPr="00D13D8E">
        <w:rPr>
          <w:rFonts w:ascii="Arial" w:hAnsi="Arial" w:cs="Arial"/>
          <w:color w:val="000000" w:themeColor="text1"/>
          <w:sz w:val="20"/>
          <w:szCs w:val="20"/>
        </w:rPr>
        <w:t xml:space="preserve"> al. have described a similar 12-month-old case, diagnosed at 2 years of age, treated by glossectomy with favorable outcom</w:t>
      </w:r>
      <w:r w:rsidR="00D56AFE" w:rsidRPr="00D13D8E">
        <w:rPr>
          <w:rFonts w:ascii="Arial" w:hAnsi="Arial" w:cs="Arial"/>
          <w:color w:val="000000" w:themeColor="text1"/>
          <w:sz w:val="20"/>
          <w:szCs w:val="20"/>
        </w:rPr>
        <w:t>es after a 5-year follow-up</w:t>
      </w:r>
      <w:r w:rsidR="000A0672" w:rsidRPr="00D13D8E">
        <w:rPr>
          <w:rFonts w:ascii="Arial" w:hAnsi="Arial" w:cs="Arial"/>
          <w:color w:val="000000" w:themeColor="text1"/>
          <w:sz w:val="20"/>
          <w:szCs w:val="20"/>
        </w:rPr>
        <w:t xml:space="preserve"> </w:t>
      </w:r>
      <w:r w:rsidR="000A0672" w:rsidRPr="00D13D8E">
        <w:rPr>
          <w:rFonts w:ascii="Arial" w:hAnsi="Arial" w:cs="Arial"/>
          <w:bCs/>
          <w:color w:val="000000" w:themeColor="text1"/>
          <w:sz w:val="20"/>
          <w:szCs w:val="20"/>
        </w:rPr>
        <w:t>(Katz AP et al., 2017)</w:t>
      </w:r>
      <w:r w:rsidR="00D56AFE" w:rsidRPr="00D13D8E">
        <w:rPr>
          <w:rFonts w:ascii="Arial" w:hAnsi="Arial" w:cs="Arial"/>
          <w:color w:val="000000" w:themeColor="text1"/>
          <w:sz w:val="20"/>
          <w:szCs w:val="20"/>
        </w:rPr>
        <w:t>.</w:t>
      </w:r>
      <w:r w:rsidR="003C0E58" w:rsidRPr="00D13D8E">
        <w:rPr>
          <w:rFonts w:ascii="Arial" w:hAnsi="Arial" w:cs="Arial"/>
          <w:color w:val="000000" w:themeColor="text1"/>
          <w:sz w:val="20"/>
          <w:szCs w:val="20"/>
          <w:vertAlign w:val="superscript"/>
        </w:rPr>
        <w:t xml:space="preserve"> </w:t>
      </w:r>
      <w:r w:rsidR="00B45340" w:rsidRPr="00D13D8E">
        <w:rPr>
          <w:rFonts w:ascii="Arial" w:hAnsi="Arial" w:cs="Arial"/>
          <w:color w:val="000000" w:themeColor="text1"/>
          <w:sz w:val="20"/>
          <w:szCs w:val="20"/>
        </w:rPr>
        <w:t>A. Marchac and</w:t>
      </w:r>
      <w:r w:rsidRPr="00D13D8E">
        <w:rPr>
          <w:rFonts w:ascii="Arial" w:hAnsi="Arial" w:cs="Arial"/>
          <w:color w:val="000000" w:themeColor="text1"/>
          <w:sz w:val="20"/>
          <w:szCs w:val="20"/>
        </w:rPr>
        <w:t xml:space="preserve"> al. have published a case of ASPS of the tongue and the mouth floor diagnosed in a two-year-old girl. She had lung metastasis. She was successfully treated with chemotherapy and sur</w:t>
      </w:r>
      <w:r w:rsidR="00D56AFE" w:rsidRPr="00D13D8E">
        <w:rPr>
          <w:rFonts w:ascii="Arial" w:hAnsi="Arial" w:cs="Arial"/>
          <w:color w:val="000000" w:themeColor="text1"/>
          <w:sz w:val="20"/>
          <w:szCs w:val="20"/>
        </w:rPr>
        <w:t>gery</w:t>
      </w:r>
      <w:r w:rsidR="000A0672" w:rsidRPr="00D13D8E">
        <w:rPr>
          <w:rFonts w:ascii="Arial" w:hAnsi="Arial" w:cs="Arial"/>
          <w:color w:val="000000" w:themeColor="text1"/>
          <w:sz w:val="20"/>
          <w:szCs w:val="20"/>
        </w:rPr>
        <w:t xml:space="preserve"> </w:t>
      </w:r>
      <w:r w:rsidR="000A0672" w:rsidRPr="00D13D8E">
        <w:rPr>
          <w:rFonts w:ascii="Arial" w:hAnsi="Arial" w:cs="Arial"/>
          <w:bCs/>
          <w:color w:val="000000" w:themeColor="text1"/>
          <w:sz w:val="20"/>
          <w:szCs w:val="20"/>
        </w:rPr>
        <w:t>(Marchac A et al., 2007)</w:t>
      </w:r>
      <w:r w:rsidR="00D56AFE" w:rsidRPr="00D13D8E">
        <w:rPr>
          <w:rFonts w:ascii="Arial" w:hAnsi="Arial" w:cs="Arial"/>
          <w:color w:val="000000" w:themeColor="text1"/>
          <w:sz w:val="20"/>
          <w:szCs w:val="20"/>
        </w:rPr>
        <w:t>.</w:t>
      </w:r>
    </w:p>
    <w:p w:rsidR="00660BD7" w:rsidRPr="00D13D8E" w:rsidRDefault="00660BD7" w:rsidP="00D1529B">
      <w:pPr>
        <w:pStyle w:val="NormalWeb"/>
        <w:spacing w:before="0" w:beforeAutospacing="0" w:after="0" w:afterAutospacing="0"/>
        <w:ind w:firstLine="270"/>
        <w:jc w:val="both"/>
        <w:rPr>
          <w:rFonts w:ascii="Arial" w:hAnsi="Arial" w:cs="Arial"/>
          <w:color w:val="000000" w:themeColor="text1"/>
          <w:sz w:val="20"/>
          <w:szCs w:val="20"/>
        </w:rPr>
      </w:pPr>
      <w:r w:rsidRPr="00D13D8E">
        <w:rPr>
          <w:rFonts w:ascii="Arial" w:hAnsi="Arial" w:cs="Arial"/>
          <w:color w:val="000000" w:themeColor="text1"/>
          <w:sz w:val="20"/>
          <w:szCs w:val="20"/>
        </w:rPr>
        <w:t>The 5-year survival rate in children, adolescents and young adults is close to 80% in case of localized disease but poorer in the presence of metastases (10%). Prognostic risk factors in the literature are age (&gt; 10 Years), tumor size (&gt; 5 cm) an</w:t>
      </w:r>
      <w:r w:rsidR="00D56AFE" w:rsidRPr="00D13D8E">
        <w:rPr>
          <w:rFonts w:ascii="Arial" w:hAnsi="Arial" w:cs="Arial"/>
          <w:color w:val="000000" w:themeColor="text1"/>
          <w:sz w:val="20"/>
          <w:szCs w:val="20"/>
        </w:rPr>
        <w:t>d presence of metastases</w:t>
      </w:r>
      <w:r w:rsidR="000A0672" w:rsidRPr="00D13D8E">
        <w:rPr>
          <w:rFonts w:ascii="Arial" w:hAnsi="Arial" w:cs="Arial"/>
          <w:color w:val="000000" w:themeColor="text1"/>
          <w:sz w:val="20"/>
          <w:szCs w:val="20"/>
        </w:rPr>
        <w:t> </w:t>
      </w:r>
      <w:r w:rsidR="000A0672" w:rsidRPr="00D13D8E">
        <w:rPr>
          <w:rFonts w:ascii="Arial" w:hAnsi="Arial" w:cs="Arial"/>
          <w:bCs/>
          <w:color w:val="000000" w:themeColor="text1"/>
          <w:sz w:val="20"/>
          <w:szCs w:val="20"/>
        </w:rPr>
        <w:t>(Paillard C et al., 2015; Marchac A et al., 2007)</w:t>
      </w:r>
      <w:r w:rsidR="00D56AFE" w:rsidRPr="00D13D8E">
        <w:rPr>
          <w:rFonts w:ascii="Arial" w:hAnsi="Arial" w:cs="Arial"/>
          <w:color w:val="000000" w:themeColor="text1"/>
          <w:sz w:val="20"/>
          <w:szCs w:val="20"/>
        </w:rPr>
        <w:t>.</w:t>
      </w:r>
      <w:r w:rsidR="003C0E58" w:rsidRPr="00D13D8E">
        <w:rPr>
          <w:rFonts w:ascii="Arial" w:hAnsi="Arial" w:cs="Arial"/>
          <w:color w:val="000000" w:themeColor="text1"/>
          <w:sz w:val="20"/>
          <w:szCs w:val="20"/>
          <w:vertAlign w:val="superscript"/>
        </w:rPr>
        <w:t xml:space="preserve"> </w:t>
      </w:r>
      <w:r w:rsidRPr="00D13D8E">
        <w:rPr>
          <w:rFonts w:ascii="Arial" w:hAnsi="Arial" w:cs="Arial"/>
          <w:color w:val="000000" w:themeColor="text1"/>
          <w:sz w:val="20"/>
          <w:szCs w:val="20"/>
        </w:rPr>
        <w:t>Our patient’s prognosis was poor: he was 13 years of age, the tumor size was &gt; 7cm, and he had lung metastasis.</w:t>
      </w:r>
    </w:p>
    <w:p w:rsidR="00EF1C57" w:rsidRPr="00D13D8E" w:rsidRDefault="00EF1C57" w:rsidP="00D1529B">
      <w:pPr>
        <w:autoSpaceDE w:val="0"/>
        <w:autoSpaceDN w:val="0"/>
        <w:adjustRightInd w:val="0"/>
        <w:spacing w:after="0" w:line="240" w:lineRule="auto"/>
        <w:jc w:val="both"/>
        <w:rPr>
          <w:rFonts w:ascii="Arial" w:hAnsi="Arial" w:cs="Arial"/>
          <w:color w:val="000000" w:themeColor="text1"/>
          <w:sz w:val="20"/>
          <w:szCs w:val="20"/>
        </w:rPr>
      </w:pPr>
    </w:p>
    <w:p w:rsidR="00D1529B" w:rsidRPr="00D13D8E" w:rsidRDefault="00D1529B" w:rsidP="00D1529B">
      <w:pPr>
        <w:spacing w:after="0" w:line="240" w:lineRule="auto"/>
        <w:jc w:val="both"/>
        <w:rPr>
          <w:rFonts w:ascii="Arial" w:hAnsi="Arial" w:cs="Arial"/>
          <w:b/>
          <w:bCs/>
          <w:color w:val="000000" w:themeColor="text1"/>
          <w:sz w:val="20"/>
          <w:szCs w:val="20"/>
        </w:rPr>
      </w:pPr>
    </w:p>
    <w:p w:rsidR="009A48AA" w:rsidRPr="00D13D8E" w:rsidRDefault="00D1529B" w:rsidP="00D1529B">
      <w:pPr>
        <w:spacing w:after="0" w:line="240" w:lineRule="auto"/>
        <w:jc w:val="both"/>
        <w:rPr>
          <w:rFonts w:ascii="Arial" w:hAnsi="Arial" w:cs="Arial"/>
          <w:b/>
          <w:bCs/>
          <w:color w:val="000000" w:themeColor="text1"/>
          <w:sz w:val="20"/>
          <w:szCs w:val="20"/>
        </w:rPr>
      </w:pPr>
      <w:r w:rsidRPr="00D13D8E">
        <w:rPr>
          <w:rFonts w:ascii="Arial" w:hAnsi="Arial" w:cs="Arial"/>
          <w:b/>
          <w:bCs/>
          <w:color w:val="000000" w:themeColor="text1"/>
          <w:sz w:val="20"/>
          <w:szCs w:val="20"/>
        </w:rPr>
        <w:t>CONCLUSION</w:t>
      </w:r>
    </w:p>
    <w:p w:rsidR="00D1529B" w:rsidRPr="00D13D8E" w:rsidRDefault="00D1529B" w:rsidP="00D1529B">
      <w:pPr>
        <w:spacing w:after="0" w:line="240" w:lineRule="auto"/>
        <w:jc w:val="both"/>
        <w:rPr>
          <w:rFonts w:ascii="Arial" w:hAnsi="Arial" w:cs="Arial"/>
          <w:b/>
          <w:bCs/>
          <w:color w:val="000000" w:themeColor="text1"/>
          <w:sz w:val="20"/>
          <w:szCs w:val="20"/>
        </w:rPr>
      </w:pPr>
    </w:p>
    <w:p w:rsidR="00C5254F" w:rsidRPr="00D13D8E" w:rsidRDefault="00660BD7" w:rsidP="00D1529B">
      <w:pPr>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t xml:space="preserve">Although quite rare, ASPS should be included in the differential diagnosis of head and neck masses in children since early detection and treatment are essential. In particular, lingual alveolar sarcoma diagnosed </w:t>
      </w:r>
      <w:r w:rsidR="00C5254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at an early age seems to be chemo-sensitive. </w:t>
      </w:r>
    </w:p>
    <w:p w:rsidR="00C5254F" w:rsidRPr="00D13D8E" w:rsidRDefault="00C5254F" w:rsidP="00D1529B">
      <w:pPr>
        <w:spacing w:after="0" w:line="240" w:lineRule="auto"/>
        <w:jc w:val="both"/>
        <w:rPr>
          <w:rFonts w:ascii="Arial" w:hAnsi="Arial" w:cs="Arial"/>
          <w:color w:val="000000" w:themeColor="text1"/>
          <w:sz w:val="20"/>
          <w:szCs w:val="20"/>
        </w:rPr>
      </w:pPr>
    </w:p>
    <w:p w:rsidR="00C5254F" w:rsidRPr="00D13D8E" w:rsidRDefault="00C5254F" w:rsidP="00D1529B">
      <w:pPr>
        <w:spacing w:after="0" w:line="240" w:lineRule="auto"/>
        <w:jc w:val="both"/>
        <w:rPr>
          <w:rFonts w:ascii="Arial" w:hAnsi="Arial" w:cs="Arial"/>
          <w:color w:val="000000" w:themeColor="text1"/>
          <w:sz w:val="20"/>
          <w:szCs w:val="20"/>
        </w:rPr>
      </w:pPr>
    </w:p>
    <w:p w:rsidR="00C5254F" w:rsidRPr="00D13D8E" w:rsidRDefault="00C5254F" w:rsidP="00D1529B">
      <w:pPr>
        <w:spacing w:after="0" w:line="240" w:lineRule="auto"/>
        <w:jc w:val="both"/>
        <w:rPr>
          <w:rFonts w:ascii="Arial" w:hAnsi="Arial" w:cs="Arial"/>
          <w:color w:val="000000" w:themeColor="text1"/>
          <w:sz w:val="20"/>
          <w:szCs w:val="20"/>
        </w:rPr>
      </w:pPr>
    </w:p>
    <w:p w:rsidR="00C5254F" w:rsidRPr="00D13D8E" w:rsidRDefault="00C5254F" w:rsidP="00D1529B">
      <w:pPr>
        <w:spacing w:after="0" w:line="240" w:lineRule="auto"/>
        <w:jc w:val="both"/>
        <w:rPr>
          <w:rFonts w:ascii="Arial" w:hAnsi="Arial" w:cs="Arial"/>
          <w:color w:val="000000" w:themeColor="text1"/>
          <w:sz w:val="20"/>
          <w:szCs w:val="20"/>
        </w:rPr>
      </w:pPr>
    </w:p>
    <w:p w:rsidR="00660BD7" w:rsidRPr="00D13D8E" w:rsidRDefault="00660BD7" w:rsidP="00D1529B">
      <w:pPr>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t>At this time, surgical resection remains the most effective treatment, but the development of an individualized treatment plan is essential.</w:t>
      </w:r>
    </w:p>
    <w:p w:rsidR="00963F65" w:rsidRPr="00D13D8E" w:rsidRDefault="00963F65" w:rsidP="00D1529B">
      <w:pPr>
        <w:spacing w:after="0" w:line="240" w:lineRule="auto"/>
        <w:jc w:val="both"/>
        <w:rPr>
          <w:rFonts w:ascii="Arial" w:hAnsi="Arial" w:cs="Arial"/>
          <w:b/>
          <w:bCs/>
          <w:color w:val="000000" w:themeColor="text1"/>
          <w:sz w:val="20"/>
          <w:szCs w:val="20"/>
          <w:lang w:val="en-US"/>
        </w:rPr>
      </w:pPr>
    </w:p>
    <w:p w:rsidR="00D1529B" w:rsidRPr="00D13D8E" w:rsidRDefault="00D1529B" w:rsidP="00D1529B">
      <w:pPr>
        <w:spacing w:after="0" w:line="240" w:lineRule="auto"/>
        <w:jc w:val="both"/>
        <w:rPr>
          <w:rFonts w:ascii="Arial" w:hAnsi="Arial" w:cs="Arial"/>
          <w:b/>
          <w:bCs/>
          <w:color w:val="000000" w:themeColor="text1"/>
          <w:sz w:val="20"/>
          <w:szCs w:val="20"/>
          <w:lang w:val="en-US"/>
        </w:rPr>
      </w:pPr>
    </w:p>
    <w:p w:rsidR="009A48AA" w:rsidRPr="00D13D8E" w:rsidRDefault="009A48AA" w:rsidP="00D1529B">
      <w:pPr>
        <w:spacing w:after="0" w:line="240" w:lineRule="auto"/>
        <w:jc w:val="both"/>
        <w:rPr>
          <w:rFonts w:ascii="Arial" w:hAnsi="Arial" w:cs="Arial"/>
          <w:b/>
          <w:bCs/>
          <w:color w:val="000000" w:themeColor="text1"/>
          <w:sz w:val="20"/>
          <w:szCs w:val="20"/>
          <w:lang w:val="en-US"/>
        </w:rPr>
      </w:pPr>
      <w:r w:rsidRPr="00D13D8E">
        <w:rPr>
          <w:rFonts w:ascii="Arial" w:hAnsi="Arial" w:cs="Arial"/>
          <w:b/>
          <w:bCs/>
          <w:color w:val="000000" w:themeColor="text1"/>
          <w:sz w:val="20"/>
          <w:szCs w:val="20"/>
          <w:lang w:val="en-US"/>
        </w:rPr>
        <w:t xml:space="preserve">Conflict of </w:t>
      </w:r>
      <w:r w:rsidR="00D1529B" w:rsidRPr="00D13D8E">
        <w:rPr>
          <w:rFonts w:ascii="Arial" w:hAnsi="Arial" w:cs="Arial"/>
          <w:b/>
          <w:bCs/>
          <w:color w:val="000000" w:themeColor="text1"/>
          <w:sz w:val="20"/>
          <w:szCs w:val="20"/>
          <w:lang w:val="en-US"/>
        </w:rPr>
        <w:t>I</w:t>
      </w:r>
      <w:r w:rsidRPr="00D13D8E">
        <w:rPr>
          <w:rFonts w:ascii="Arial" w:hAnsi="Arial" w:cs="Arial"/>
          <w:b/>
          <w:bCs/>
          <w:color w:val="000000" w:themeColor="text1"/>
          <w:sz w:val="20"/>
          <w:szCs w:val="20"/>
          <w:lang w:val="en-US"/>
        </w:rPr>
        <w:t xml:space="preserve">nterest:  </w:t>
      </w:r>
      <w:r w:rsidRPr="00D13D8E">
        <w:rPr>
          <w:rFonts w:ascii="Arial" w:hAnsi="Arial" w:cs="Arial"/>
          <w:bCs/>
          <w:color w:val="000000" w:themeColor="text1"/>
          <w:sz w:val="20"/>
          <w:szCs w:val="20"/>
          <w:lang w:val="en-US"/>
        </w:rPr>
        <w:t>None</w:t>
      </w:r>
    </w:p>
    <w:p w:rsidR="009A48AA" w:rsidRPr="00D13D8E" w:rsidRDefault="009A48AA" w:rsidP="00D1529B">
      <w:pPr>
        <w:spacing w:after="0" w:line="240" w:lineRule="auto"/>
        <w:jc w:val="both"/>
        <w:rPr>
          <w:rFonts w:ascii="Arial" w:hAnsi="Arial" w:cs="Arial"/>
          <w:b/>
          <w:bCs/>
          <w:color w:val="000000" w:themeColor="text1"/>
          <w:sz w:val="20"/>
          <w:szCs w:val="20"/>
          <w:shd w:val="clear" w:color="auto" w:fill="FFFFFF"/>
        </w:rPr>
      </w:pPr>
    </w:p>
    <w:p w:rsidR="00D1529B" w:rsidRPr="00D13D8E" w:rsidRDefault="00D1529B" w:rsidP="00D1529B">
      <w:pPr>
        <w:spacing w:after="0" w:line="240" w:lineRule="auto"/>
        <w:jc w:val="both"/>
        <w:rPr>
          <w:rFonts w:ascii="Arial" w:hAnsi="Arial" w:cs="Arial"/>
          <w:b/>
          <w:bCs/>
          <w:color w:val="000000" w:themeColor="text1"/>
          <w:sz w:val="20"/>
          <w:szCs w:val="20"/>
          <w:shd w:val="clear" w:color="auto" w:fill="FFFFFF"/>
        </w:rPr>
      </w:pPr>
    </w:p>
    <w:p w:rsidR="00D1529B" w:rsidRPr="00D13D8E" w:rsidRDefault="00CB6222" w:rsidP="00D1529B">
      <w:pPr>
        <w:spacing w:after="0" w:line="240" w:lineRule="auto"/>
        <w:jc w:val="both"/>
        <w:rPr>
          <w:rFonts w:ascii="Arial" w:hAnsi="Arial" w:cs="Arial"/>
          <w:b/>
          <w:bCs/>
          <w:color w:val="000000" w:themeColor="text1"/>
          <w:sz w:val="20"/>
          <w:szCs w:val="20"/>
          <w:shd w:val="clear" w:color="auto" w:fill="FFFFFF"/>
        </w:rPr>
      </w:pPr>
      <w:r w:rsidRPr="00D13D8E">
        <w:rPr>
          <w:rFonts w:ascii="Arial" w:hAnsi="Arial" w:cs="Arial"/>
          <w:b/>
          <w:bCs/>
          <w:color w:val="000000" w:themeColor="text1"/>
          <w:sz w:val="20"/>
          <w:szCs w:val="20"/>
          <w:shd w:val="clear" w:color="auto" w:fill="FFFFFF"/>
        </w:rPr>
        <w:t>Consent for publication</w:t>
      </w:r>
    </w:p>
    <w:p w:rsidR="00D1529B" w:rsidRPr="00D13D8E" w:rsidRDefault="00D1529B" w:rsidP="00D1529B">
      <w:pPr>
        <w:spacing w:after="0" w:line="240" w:lineRule="auto"/>
        <w:jc w:val="both"/>
        <w:rPr>
          <w:rFonts w:ascii="Arial" w:hAnsi="Arial" w:cs="Arial"/>
          <w:b/>
          <w:bCs/>
          <w:color w:val="000000" w:themeColor="text1"/>
          <w:sz w:val="20"/>
          <w:szCs w:val="20"/>
          <w:shd w:val="clear" w:color="auto" w:fill="FFFFFF"/>
        </w:rPr>
      </w:pPr>
    </w:p>
    <w:p w:rsidR="00CB6222" w:rsidRPr="00D13D8E" w:rsidRDefault="00BD5235" w:rsidP="00D1529B">
      <w:pPr>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t>Consent was obtained from the patient's parents.</w:t>
      </w:r>
    </w:p>
    <w:p w:rsidR="00DC3E00" w:rsidRPr="00D13D8E" w:rsidRDefault="00DC3E00" w:rsidP="00D1529B">
      <w:pPr>
        <w:spacing w:after="0" w:line="240" w:lineRule="auto"/>
        <w:jc w:val="both"/>
        <w:rPr>
          <w:rFonts w:ascii="Arial" w:hAnsi="Arial" w:cs="Arial"/>
          <w:color w:val="000000" w:themeColor="text1"/>
          <w:sz w:val="20"/>
          <w:szCs w:val="20"/>
        </w:rPr>
      </w:pPr>
    </w:p>
    <w:p w:rsidR="00D1529B" w:rsidRPr="00D13D8E" w:rsidRDefault="00D1529B" w:rsidP="00D1529B">
      <w:pPr>
        <w:spacing w:after="0" w:line="240" w:lineRule="auto"/>
        <w:jc w:val="both"/>
        <w:rPr>
          <w:rFonts w:ascii="Arial" w:hAnsi="Arial" w:cs="Arial"/>
          <w:b/>
          <w:bCs/>
          <w:color w:val="000000" w:themeColor="text1"/>
          <w:sz w:val="20"/>
          <w:szCs w:val="20"/>
        </w:rPr>
      </w:pPr>
    </w:p>
    <w:p w:rsidR="00D1529B" w:rsidRPr="00D13D8E" w:rsidRDefault="00D1529B" w:rsidP="00D1529B">
      <w:pPr>
        <w:spacing w:after="0" w:line="240" w:lineRule="auto"/>
        <w:jc w:val="both"/>
        <w:rPr>
          <w:rFonts w:ascii="Arial" w:hAnsi="Arial" w:cs="Arial"/>
          <w:b/>
          <w:bCs/>
          <w:color w:val="000000" w:themeColor="text1"/>
          <w:sz w:val="20"/>
          <w:szCs w:val="20"/>
        </w:rPr>
      </w:pPr>
      <w:r w:rsidRPr="00D13D8E">
        <w:rPr>
          <w:rFonts w:ascii="Arial" w:hAnsi="Arial" w:cs="Arial"/>
          <w:b/>
          <w:bCs/>
          <w:color w:val="000000" w:themeColor="text1"/>
          <w:sz w:val="20"/>
          <w:szCs w:val="20"/>
        </w:rPr>
        <w:t>ACKNOWLEDGMENTS</w:t>
      </w:r>
    </w:p>
    <w:p w:rsidR="00D1529B" w:rsidRPr="00D13D8E" w:rsidRDefault="00D1529B" w:rsidP="00D1529B">
      <w:pPr>
        <w:spacing w:after="0" w:line="240" w:lineRule="auto"/>
        <w:jc w:val="both"/>
        <w:rPr>
          <w:rFonts w:ascii="Arial" w:hAnsi="Arial" w:cs="Arial"/>
          <w:b/>
          <w:bCs/>
          <w:color w:val="000000" w:themeColor="text1"/>
          <w:sz w:val="20"/>
          <w:szCs w:val="20"/>
        </w:rPr>
      </w:pPr>
    </w:p>
    <w:p w:rsidR="00CB6222" w:rsidRPr="00D13D8E" w:rsidRDefault="00CB6222" w:rsidP="00D1529B">
      <w:pPr>
        <w:spacing w:after="0" w:line="240" w:lineRule="auto"/>
        <w:jc w:val="both"/>
        <w:rPr>
          <w:rFonts w:ascii="Arial" w:hAnsi="Arial" w:cs="Arial"/>
          <w:color w:val="000000" w:themeColor="text1"/>
          <w:sz w:val="20"/>
          <w:szCs w:val="20"/>
        </w:rPr>
      </w:pPr>
      <w:r w:rsidRPr="00D13D8E">
        <w:rPr>
          <w:rFonts w:ascii="Arial" w:hAnsi="Arial" w:cs="Arial"/>
          <w:color w:val="000000" w:themeColor="text1"/>
          <w:sz w:val="20"/>
          <w:szCs w:val="20"/>
        </w:rPr>
        <w:t>The authors thank</w:t>
      </w:r>
      <w:r w:rsidR="005C4E7F" w:rsidRPr="00D13D8E">
        <w:rPr>
          <w:rFonts w:ascii="Arial" w:hAnsi="Arial" w:cs="Arial"/>
          <w:color w:val="000000" w:themeColor="text1"/>
          <w:sz w:val="20"/>
          <w:szCs w:val="20"/>
        </w:rPr>
        <w:t xml:space="preserve"> </w:t>
      </w:r>
      <w:r w:rsidRPr="00D13D8E">
        <w:rPr>
          <w:rFonts w:ascii="Arial" w:hAnsi="Arial" w:cs="Arial"/>
          <w:color w:val="000000" w:themeColor="text1"/>
          <w:sz w:val="20"/>
          <w:szCs w:val="20"/>
        </w:rPr>
        <w:t xml:space="preserve">the patient's parents, </w:t>
      </w:r>
      <w:r w:rsidR="005E0B73" w:rsidRPr="00D13D8E">
        <w:rPr>
          <w:rFonts w:ascii="Arial" w:hAnsi="Arial" w:cs="Arial"/>
          <w:color w:val="000000" w:themeColor="text1"/>
          <w:sz w:val="20"/>
          <w:szCs w:val="20"/>
        </w:rPr>
        <w:t xml:space="preserve">Dr. </w:t>
      </w:r>
      <w:r w:rsidR="002F1560" w:rsidRPr="00D13D8E">
        <w:rPr>
          <w:rFonts w:ascii="Arial" w:hAnsi="Arial" w:cs="Arial"/>
          <w:color w:val="000000" w:themeColor="text1"/>
          <w:sz w:val="20"/>
          <w:szCs w:val="20"/>
        </w:rPr>
        <w:t xml:space="preserve">Klevor Raymond, </w:t>
      </w:r>
      <w:r w:rsidRPr="00D13D8E">
        <w:rPr>
          <w:rFonts w:ascii="Arial" w:hAnsi="Arial" w:cs="Arial"/>
          <w:color w:val="000000" w:themeColor="text1"/>
          <w:sz w:val="20"/>
          <w:szCs w:val="20"/>
        </w:rPr>
        <w:t xml:space="preserve">and the staff of the </w:t>
      </w:r>
      <w:r w:rsidRPr="00D13D8E">
        <w:rPr>
          <w:rFonts w:ascii="Arial" w:eastAsia="Times New Roman" w:hAnsi="Arial" w:cs="Arial"/>
          <w:bCs/>
          <w:color w:val="000000" w:themeColor="text1"/>
          <w:sz w:val="20"/>
          <w:szCs w:val="20"/>
        </w:rPr>
        <w:t xml:space="preserve">pediatric hematology and oncology department </w:t>
      </w:r>
      <w:r w:rsidRPr="00D13D8E">
        <w:rPr>
          <w:rFonts w:ascii="Arial" w:hAnsi="Arial" w:cs="Arial"/>
          <w:color w:val="000000" w:themeColor="text1"/>
          <w:sz w:val="20"/>
          <w:szCs w:val="20"/>
        </w:rPr>
        <w:t>for their help and support.</w:t>
      </w:r>
    </w:p>
    <w:p w:rsidR="009A48AA" w:rsidRPr="00D13D8E" w:rsidRDefault="009A48AA" w:rsidP="00D1529B">
      <w:pPr>
        <w:autoSpaceDE w:val="0"/>
        <w:autoSpaceDN w:val="0"/>
        <w:adjustRightInd w:val="0"/>
        <w:spacing w:after="0" w:line="240" w:lineRule="auto"/>
        <w:jc w:val="both"/>
        <w:rPr>
          <w:rFonts w:ascii="Arial" w:hAnsi="Arial" w:cs="Arial"/>
          <w:color w:val="000000" w:themeColor="text1"/>
          <w:sz w:val="20"/>
          <w:szCs w:val="20"/>
        </w:rPr>
      </w:pPr>
    </w:p>
    <w:p w:rsidR="00EF1C57" w:rsidRPr="00D13D8E" w:rsidRDefault="00D13D8E" w:rsidP="00D13D8E">
      <w:pPr>
        <w:autoSpaceDE w:val="0"/>
        <w:autoSpaceDN w:val="0"/>
        <w:adjustRightInd w:val="0"/>
        <w:spacing w:after="0" w:line="240" w:lineRule="auto"/>
        <w:jc w:val="right"/>
        <w:rPr>
          <w:rFonts w:ascii="Arial" w:hAnsi="Arial" w:cs="Arial"/>
          <w:color w:val="000000" w:themeColor="text1"/>
          <w:sz w:val="20"/>
          <w:szCs w:val="20"/>
        </w:rPr>
      </w:pPr>
      <w:r w:rsidRPr="00D13D8E">
        <w:rPr>
          <w:rFonts w:ascii="Arial" w:hAnsi="Arial" w:cs="Arial"/>
          <w:b/>
          <w:color w:val="000000" w:themeColor="text1"/>
          <w:sz w:val="20"/>
          <w:szCs w:val="20"/>
        </w:rPr>
        <w:lastRenderedPageBreak/>
        <w:t>Fouad et al. 027</w:t>
      </w: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C5254F" w:rsidRPr="00D13D8E" w:rsidRDefault="00C5254F" w:rsidP="00D1529B">
      <w:pPr>
        <w:autoSpaceDE w:val="0"/>
        <w:autoSpaceDN w:val="0"/>
        <w:adjustRightInd w:val="0"/>
        <w:spacing w:after="0" w:line="240" w:lineRule="auto"/>
        <w:jc w:val="both"/>
        <w:rPr>
          <w:rFonts w:ascii="Arial" w:hAnsi="Arial" w:cs="Arial"/>
          <w:color w:val="000000" w:themeColor="text1"/>
          <w:sz w:val="20"/>
          <w:szCs w:val="20"/>
        </w:rPr>
      </w:pPr>
    </w:p>
    <w:p w:rsidR="004F0724" w:rsidRPr="00D13D8E" w:rsidRDefault="00D1529B" w:rsidP="00D1529B">
      <w:pPr>
        <w:autoSpaceDE w:val="0"/>
        <w:autoSpaceDN w:val="0"/>
        <w:adjustRightInd w:val="0"/>
        <w:spacing w:after="0" w:line="240" w:lineRule="auto"/>
        <w:jc w:val="both"/>
        <w:rPr>
          <w:rFonts w:ascii="Arial" w:hAnsi="Arial" w:cs="Arial"/>
          <w:b/>
          <w:bCs/>
          <w:color w:val="000000" w:themeColor="text1"/>
          <w:sz w:val="16"/>
          <w:szCs w:val="16"/>
        </w:rPr>
      </w:pPr>
      <w:r w:rsidRPr="00D13D8E">
        <w:rPr>
          <w:rFonts w:ascii="Arial" w:hAnsi="Arial" w:cs="Arial"/>
          <w:b/>
          <w:bCs/>
          <w:color w:val="000000" w:themeColor="text1"/>
          <w:sz w:val="16"/>
          <w:szCs w:val="16"/>
        </w:rPr>
        <w:t>REFERENCES</w:t>
      </w:r>
    </w:p>
    <w:p w:rsidR="004F0724" w:rsidRPr="00D13D8E" w:rsidRDefault="004F0724" w:rsidP="00D1529B">
      <w:pPr>
        <w:autoSpaceDE w:val="0"/>
        <w:autoSpaceDN w:val="0"/>
        <w:adjustRightInd w:val="0"/>
        <w:spacing w:after="0" w:line="240" w:lineRule="auto"/>
        <w:jc w:val="both"/>
        <w:rPr>
          <w:rFonts w:ascii="Arial" w:hAnsi="Arial" w:cs="Arial"/>
          <w:b/>
          <w:bCs/>
          <w:color w:val="000000" w:themeColor="text1"/>
          <w:sz w:val="16"/>
          <w:szCs w:val="16"/>
        </w:rPr>
      </w:pP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Bouletreau P, Froget N, Gleizal A, Breton P (2005). Affections du plancher de la bouche. EMC-Stomatologie 1:126–40.</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Dufresne A, Cassier P, Heudel P, Pissaloux D, Wang Q, and al. (2015). Biologie moléculaire des sarcomes et choix thérapeutiques. Bull Cancer 102:6–16.</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Honoré C</w:t>
      </w:r>
      <w:r w:rsidRPr="00D13D8E">
        <w:rPr>
          <w:rFonts w:ascii="Arial" w:eastAsia="HBPJO P+ MTSYB" w:hAnsi="Arial" w:cs="Arial"/>
          <w:color w:val="000000" w:themeColor="text1"/>
          <w:sz w:val="16"/>
          <w:szCs w:val="16"/>
        </w:rPr>
        <w:t xml:space="preserve">, Méeus P, Stoeckle E, Bonvalot S (2015). </w:t>
      </w:r>
      <w:r w:rsidRPr="00D13D8E">
        <w:rPr>
          <w:rFonts w:ascii="Arial" w:hAnsi="Arial" w:cs="Arial"/>
          <w:color w:val="000000" w:themeColor="text1"/>
          <w:sz w:val="16"/>
          <w:szCs w:val="16"/>
        </w:rPr>
        <w:t>Le sarcome des tissus mous en France en 2014: épidémiologie, classification et structuration de la prise en charge. JCHIRV. 152:224-32.</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Katz AP, Chen S, DeNardo BD, Mangray S, Groblewski JC (2017). Lingual alveolar soft part sarcoma in a pediatric patient: Case report and literature review. International Journal of Pediatric Otorhinolaryngology 17:36-9.</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Marchac A, Picard A, Landman-Parker J, Larroquet M, Vazquez MP, Franchi G (2007).  Sarcome alvéolaire de la langue: un cas pédiatrique. Rev Stomatol Chir Maxillofac. 108:547-50.</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Paillard C, Coulomb A, Helfre S, Orbach D (2015). Le sarcome alvéolaire des parties molles de l'enfant et l'adolescent. Bull Cancer 102:792-8.</w:t>
      </w:r>
    </w:p>
    <w:p w:rsidR="00D1529B" w:rsidRPr="00D13D8E" w:rsidRDefault="00D1529B" w:rsidP="00D1529B">
      <w:pPr>
        <w:spacing w:after="0" w:line="240" w:lineRule="auto"/>
        <w:ind w:left="270" w:hanging="270"/>
        <w:jc w:val="both"/>
        <w:rPr>
          <w:rFonts w:ascii="Arial" w:hAnsi="Arial" w:cs="Arial"/>
          <w:color w:val="000000" w:themeColor="text1"/>
          <w:sz w:val="16"/>
          <w:szCs w:val="16"/>
        </w:rPr>
      </w:pPr>
      <w:r w:rsidRPr="00D13D8E">
        <w:rPr>
          <w:rFonts w:ascii="Arial" w:hAnsi="Arial" w:cs="Arial"/>
          <w:color w:val="000000" w:themeColor="text1"/>
          <w:sz w:val="16"/>
          <w:szCs w:val="16"/>
        </w:rPr>
        <w:t>Ryu J, Kwon Y, Park BK, Jung YS (2006). Lingual alveolar soft part sarcoma treated only by conservative resection. International Journal of Pediatric Otorhinolaryngology 1:243-8.</w:t>
      </w:r>
    </w:p>
    <w:p w:rsidR="00D1529B" w:rsidRPr="00D13D8E" w:rsidRDefault="00D1529B" w:rsidP="00D1529B">
      <w:pPr>
        <w:autoSpaceDE w:val="0"/>
        <w:autoSpaceDN w:val="0"/>
        <w:adjustRightInd w:val="0"/>
        <w:spacing w:after="0" w:line="240" w:lineRule="auto"/>
        <w:jc w:val="both"/>
        <w:rPr>
          <w:rFonts w:ascii="Arial" w:hAnsi="Arial" w:cs="Arial"/>
          <w:b/>
          <w:bCs/>
          <w:color w:val="000000" w:themeColor="text1"/>
          <w:sz w:val="20"/>
          <w:szCs w:val="20"/>
        </w:rPr>
        <w:sectPr w:rsidR="00D1529B" w:rsidRPr="00D13D8E" w:rsidSect="00D1529B">
          <w:type w:val="continuous"/>
          <w:pgSz w:w="12240" w:h="15840" w:code="1"/>
          <w:pgMar w:top="576" w:right="720" w:bottom="1008" w:left="864" w:header="720" w:footer="720" w:gutter="0"/>
          <w:cols w:num="2" w:space="432"/>
          <w:docGrid w:linePitch="360"/>
        </w:sectPr>
      </w:pPr>
    </w:p>
    <w:p w:rsidR="001349D4" w:rsidRPr="00D13D8E" w:rsidRDefault="001349D4" w:rsidP="00D1529B">
      <w:pPr>
        <w:autoSpaceDE w:val="0"/>
        <w:autoSpaceDN w:val="0"/>
        <w:adjustRightInd w:val="0"/>
        <w:spacing w:after="0" w:line="240" w:lineRule="auto"/>
        <w:jc w:val="both"/>
        <w:rPr>
          <w:rFonts w:ascii="Arial" w:hAnsi="Arial" w:cs="Arial"/>
          <w:b/>
          <w:bCs/>
          <w:color w:val="000000" w:themeColor="text1"/>
          <w:sz w:val="20"/>
          <w:szCs w:val="20"/>
        </w:rPr>
      </w:pPr>
    </w:p>
    <w:p w:rsidR="001349D4" w:rsidRPr="00D13D8E" w:rsidRDefault="001349D4" w:rsidP="00D1529B">
      <w:pPr>
        <w:autoSpaceDE w:val="0"/>
        <w:autoSpaceDN w:val="0"/>
        <w:adjustRightInd w:val="0"/>
        <w:spacing w:after="0" w:line="240" w:lineRule="auto"/>
        <w:jc w:val="both"/>
        <w:rPr>
          <w:rFonts w:ascii="Arial" w:hAnsi="Arial" w:cs="Arial"/>
          <w:b/>
          <w:bCs/>
          <w:color w:val="000000" w:themeColor="text1"/>
          <w:sz w:val="20"/>
          <w:szCs w:val="20"/>
        </w:rPr>
      </w:pPr>
    </w:p>
    <w:p w:rsidR="00D1529B" w:rsidRPr="00D13D8E" w:rsidRDefault="00D1529B" w:rsidP="00D1529B">
      <w:pPr>
        <w:pStyle w:val="NormalWeb"/>
        <w:spacing w:before="0" w:beforeAutospacing="0" w:after="0" w:afterAutospacing="0"/>
        <w:jc w:val="both"/>
        <w:rPr>
          <w:rFonts w:ascii="Arial" w:eastAsiaTheme="minorHAnsi" w:hAnsi="Arial" w:cs="Arial"/>
          <w:b/>
          <w:bCs/>
          <w:color w:val="000000" w:themeColor="text1"/>
          <w:sz w:val="20"/>
          <w:szCs w:val="20"/>
          <w:lang w:eastAsia="en-US"/>
        </w:rPr>
      </w:pPr>
    </w:p>
    <w:p w:rsidR="00EF1C57" w:rsidRPr="00D13D8E" w:rsidRDefault="00EF1C57" w:rsidP="00D1529B">
      <w:pPr>
        <w:spacing w:after="0" w:line="240" w:lineRule="auto"/>
        <w:jc w:val="both"/>
        <w:rPr>
          <w:rFonts w:ascii="Arial" w:hAnsi="Arial" w:cs="Arial"/>
          <w:color w:val="000000" w:themeColor="text1"/>
          <w:sz w:val="20"/>
          <w:szCs w:val="20"/>
        </w:rPr>
      </w:pPr>
    </w:p>
    <w:p w:rsidR="00B977E5" w:rsidRPr="00D13D8E" w:rsidRDefault="00B977E5" w:rsidP="00D1529B">
      <w:pPr>
        <w:spacing w:after="0" w:line="240" w:lineRule="auto"/>
        <w:jc w:val="both"/>
        <w:rPr>
          <w:rFonts w:ascii="Arial" w:hAnsi="Arial" w:cs="Arial"/>
          <w:color w:val="000000" w:themeColor="text1"/>
          <w:sz w:val="20"/>
          <w:szCs w:val="20"/>
        </w:rPr>
      </w:pPr>
    </w:p>
    <w:p w:rsidR="001349D4" w:rsidRPr="00D13D8E" w:rsidRDefault="001349D4" w:rsidP="00D1529B">
      <w:pPr>
        <w:spacing w:after="0" w:line="240" w:lineRule="auto"/>
        <w:jc w:val="both"/>
        <w:rPr>
          <w:rFonts w:ascii="Arial" w:hAnsi="Arial" w:cs="Arial"/>
          <w:color w:val="000000" w:themeColor="text1"/>
          <w:sz w:val="20"/>
          <w:szCs w:val="20"/>
        </w:rPr>
      </w:pPr>
    </w:p>
    <w:p w:rsidR="00B977E5" w:rsidRPr="00D13D8E" w:rsidRDefault="00B977E5" w:rsidP="00D1529B">
      <w:pPr>
        <w:spacing w:after="0" w:line="240" w:lineRule="auto"/>
        <w:jc w:val="both"/>
        <w:rPr>
          <w:rFonts w:ascii="Arial" w:hAnsi="Arial" w:cs="Arial"/>
          <w:b/>
          <w:bCs/>
          <w:color w:val="000000" w:themeColor="text1"/>
          <w:sz w:val="20"/>
          <w:szCs w:val="20"/>
        </w:rPr>
      </w:pPr>
    </w:p>
    <w:p w:rsidR="00B977E5" w:rsidRPr="00D13D8E" w:rsidRDefault="00B977E5" w:rsidP="00D1529B">
      <w:pPr>
        <w:spacing w:after="0" w:line="240" w:lineRule="auto"/>
        <w:jc w:val="both"/>
        <w:rPr>
          <w:rFonts w:ascii="Arial" w:hAnsi="Arial" w:cs="Arial"/>
          <w:b/>
          <w:bCs/>
          <w:color w:val="000000" w:themeColor="text1"/>
          <w:sz w:val="20"/>
          <w:szCs w:val="20"/>
        </w:rPr>
      </w:pPr>
    </w:p>
    <w:p w:rsidR="00EF1C57" w:rsidRPr="00D13D8E" w:rsidRDefault="00EF1C57" w:rsidP="00D1529B">
      <w:pPr>
        <w:spacing w:after="0" w:line="240" w:lineRule="auto"/>
        <w:jc w:val="both"/>
        <w:rPr>
          <w:rFonts w:ascii="Arial" w:hAnsi="Arial" w:cs="Arial"/>
          <w:color w:val="000000" w:themeColor="text1"/>
          <w:sz w:val="20"/>
          <w:szCs w:val="20"/>
        </w:rPr>
      </w:pPr>
    </w:p>
    <w:p w:rsidR="00EF1C57" w:rsidRPr="00D13D8E" w:rsidRDefault="00EF1C57" w:rsidP="00D1529B">
      <w:pPr>
        <w:spacing w:after="0" w:line="240" w:lineRule="auto"/>
        <w:jc w:val="both"/>
        <w:rPr>
          <w:rFonts w:ascii="Arial" w:hAnsi="Arial" w:cs="Arial"/>
          <w:color w:val="000000" w:themeColor="text1"/>
          <w:sz w:val="20"/>
          <w:szCs w:val="20"/>
        </w:rPr>
      </w:pPr>
    </w:p>
    <w:p w:rsidR="00831DC3" w:rsidRPr="00D13D8E" w:rsidRDefault="00831DC3" w:rsidP="00D1529B">
      <w:pPr>
        <w:autoSpaceDE w:val="0"/>
        <w:autoSpaceDN w:val="0"/>
        <w:adjustRightInd w:val="0"/>
        <w:spacing w:after="0" w:line="240" w:lineRule="auto"/>
        <w:jc w:val="both"/>
        <w:rPr>
          <w:rFonts w:ascii="Arial" w:hAnsi="Arial" w:cs="Arial"/>
          <w:color w:val="000000" w:themeColor="text1"/>
          <w:sz w:val="20"/>
          <w:szCs w:val="20"/>
        </w:rPr>
      </w:pPr>
    </w:p>
    <w:sectPr w:rsidR="00831DC3" w:rsidRPr="00D13D8E" w:rsidSect="00D1529B">
      <w:type w:val="continuous"/>
      <w:pgSz w:w="12240" w:h="15840" w:code="1"/>
      <w:pgMar w:top="576" w:right="720" w:bottom="1008" w:left="86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1F6" w:rsidRDefault="003A31F6" w:rsidP="00707176">
      <w:pPr>
        <w:spacing w:after="0" w:line="240" w:lineRule="auto"/>
      </w:pPr>
      <w:r>
        <w:separator/>
      </w:r>
    </w:p>
  </w:endnote>
  <w:endnote w:type="continuationSeparator" w:id="1">
    <w:p w:rsidR="003A31F6" w:rsidRDefault="003A31F6" w:rsidP="007071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BPJO P+ MTSYB">
    <w:altName w:val="Arial Unicode MS"/>
    <w:panose1 w:val="00000000000000000000"/>
    <w:charset w:val="81"/>
    <w:family w:val="swiss"/>
    <w:notTrueType/>
    <w:pitch w:val="default"/>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1F6" w:rsidRDefault="003A31F6" w:rsidP="00707176">
      <w:pPr>
        <w:spacing w:after="0" w:line="240" w:lineRule="auto"/>
      </w:pPr>
      <w:r>
        <w:separator/>
      </w:r>
    </w:p>
  </w:footnote>
  <w:footnote w:type="continuationSeparator" w:id="1">
    <w:p w:rsidR="003A31F6" w:rsidRDefault="003A31F6" w:rsidP="007071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176" w:rsidRPr="00D1529B" w:rsidRDefault="00707176" w:rsidP="00D1529B">
    <w:pPr>
      <w:pStyle w:val="Header"/>
      <w:jc w:val="both"/>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4361"/>
    <w:multiLevelType w:val="hybridMultilevel"/>
    <w:tmpl w:val="6716339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41120153"/>
    <w:multiLevelType w:val="hybridMultilevel"/>
    <w:tmpl w:val="E544F4EC"/>
    <w:lvl w:ilvl="0" w:tplc="72941DEA">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0650C17"/>
    <w:multiLevelType w:val="hybridMultilevel"/>
    <w:tmpl w:val="54EC3EE0"/>
    <w:lvl w:ilvl="0" w:tplc="3B2C8E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8154482"/>
    <w:multiLevelType w:val="hybridMultilevel"/>
    <w:tmpl w:val="FDD6B9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0"/>
    <w:footnote w:id="1"/>
  </w:footnotePr>
  <w:endnotePr>
    <w:endnote w:id="0"/>
    <w:endnote w:id="1"/>
  </w:endnotePr>
  <w:compat/>
  <w:rsids>
    <w:rsidRoot w:val="00621C8E"/>
    <w:rsid w:val="000410F1"/>
    <w:rsid w:val="00076BD6"/>
    <w:rsid w:val="000A0672"/>
    <w:rsid w:val="000D5307"/>
    <w:rsid w:val="00105541"/>
    <w:rsid w:val="00126DFA"/>
    <w:rsid w:val="001349D4"/>
    <w:rsid w:val="00157CAE"/>
    <w:rsid w:val="001637BF"/>
    <w:rsid w:val="001E229B"/>
    <w:rsid w:val="00200B9C"/>
    <w:rsid w:val="00232BB5"/>
    <w:rsid w:val="00233838"/>
    <w:rsid w:val="0026708D"/>
    <w:rsid w:val="0028407A"/>
    <w:rsid w:val="00293FC7"/>
    <w:rsid w:val="002C3CE2"/>
    <w:rsid w:val="002C4C3C"/>
    <w:rsid w:val="002F1560"/>
    <w:rsid w:val="00366EAE"/>
    <w:rsid w:val="00376806"/>
    <w:rsid w:val="0038544D"/>
    <w:rsid w:val="003A31F6"/>
    <w:rsid w:val="003A4623"/>
    <w:rsid w:val="003C0E58"/>
    <w:rsid w:val="004066DE"/>
    <w:rsid w:val="0042061A"/>
    <w:rsid w:val="004A5065"/>
    <w:rsid w:val="004E136D"/>
    <w:rsid w:val="004E2FDE"/>
    <w:rsid w:val="004F0724"/>
    <w:rsid w:val="004F3FD3"/>
    <w:rsid w:val="005211ED"/>
    <w:rsid w:val="00527F2B"/>
    <w:rsid w:val="005330C9"/>
    <w:rsid w:val="00534D18"/>
    <w:rsid w:val="00555C65"/>
    <w:rsid w:val="0056394E"/>
    <w:rsid w:val="00583B67"/>
    <w:rsid w:val="005B24A9"/>
    <w:rsid w:val="005B7731"/>
    <w:rsid w:val="005C4E7F"/>
    <w:rsid w:val="005D4563"/>
    <w:rsid w:val="005E0B73"/>
    <w:rsid w:val="005F115F"/>
    <w:rsid w:val="006210E0"/>
    <w:rsid w:val="00621C8E"/>
    <w:rsid w:val="00627CFA"/>
    <w:rsid w:val="006312B0"/>
    <w:rsid w:val="006604E0"/>
    <w:rsid w:val="00660BD7"/>
    <w:rsid w:val="00670BA7"/>
    <w:rsid w:val="00672C8B"/>
    <w:rsid w:val="00686E9E"/>
    <w:rsid w:val="006A7C08"/>
    <w:rsid w:val="006C0E0A"/>
    <w:rsid w:val="006E55FC"/>
    <w:rsid w:val="00707176"/>
    <w:rsid w:val="00750B44"/>
    <w:rsid w:val="00753085"/>
    <w:rsid w:val="00766572"/>
    <w:rsid w:val="007A3484"/>
    <w:rsid w:val="007D2753"/>
    <w:rsid w:val="007E490C"/>
    <w:rsid w:val="00817F3D"/>
    <w:rsid w:val="00831DC3"/>
    <w:rsid w:val="00834B09"/>
    <w:rsid w:val="00835ECD"/>
    <w:rsid w:val="00837935"/>
    <w:rsid w:val="00843895"/>
    <w:rsid w:val="0087437A"/>
    <w:rsid w:val="00885EC2"/>
    <w:rsid w:val="008C6A9D"/>
    <w:rsid w:val="008C7849"/>
    <w:rsid w:val="008D3775"/>
    <w:rsid w:val="00926913"/>
    <w:rsid w:val="0094543A"/>
    <w:rsid w:val="00963F65"/>
    <w:rsid w:val="00974366"/>
    <w:rsid w:val="009A0A67"/>
    <w:rsid w:val="009A48AA"/>
    <w:rsid w:val="009C51AC"/>
    <w:rsid w:val="009D0CAE"/>
    <w:rsid w:val="00A1734F"/>
    <w:rsid w:val="00A60640"/>
    <w:rsid w:val="00AA0F98"/>
    <w:rsid w:val="00AA298E"/>
    <w:rsid w:val="00AC6450"/>
    <w:rsid w:val="00AC7C03"/>
    <w:rsid w:val="00AC7ED3"/>
    <w:rsid w:val="00AE1615"/>
    <w:rsid w:val="00B1367A"/>
    <w:rsid w:val="00B1572D"/>
    <w:rsid w:val="00B23B74"/>
    <w:rsid w:val="00B45340"/>
    <w:rsid w:val="00B905AF"/>
    <w:rsid w:val="00B977E5"/>
    <w:rsid w:val="00BD5235"/>
    <w:rsid w:val="00BE6619"/>
    <w:rsid w:val="00C35070"/>
    <w:rsid w:val="00C5254F"/>
    <w:rsid w:val="00CB6222"/>
    <w:rsid w:val="00CC2FE3"/>
    <w:rsid w:val="00CC6C70"/>
    <w:rsid w:val="00CD3F65"/>
    <w:rsid w:val="00D13D8E"/>
    <w:rsid w:val="00D1529B"/>
    <w:rsid w:val="00D35AB3"/>
    <w:rsid w:val="00D43BCA"/>
    <w:rsid w:val="00D478CE"/>
    <w:rsid w:val="00D56AFE"/>
    <w:rsid w:val="00D611C4"/>
    <w:rsid w:val="00D83876"/>
    <w:rsid w:val="00D84205"/>
    <w:rsid w:val="00D93607"/>
    <w:rsid w:val="00D957C3"/>
    <w:rsid w:val="00DB17E2"/>
    <w:rsid w:val="00DC3E00"/>
    <w:rsid w:val="00DF4027"/>
    <w:rsid w:val="00E204D9"/>
    <w:rsid w:val="00E42B8B"/>
    <w:rsid w:val="00E47EE4"/>
    <w:rsid w:val="00E94B43"/>
    <w:rsid w:val="00ED1436"/>
    <w:rsid w:val="00EE25CD"/>
    <w:rsid w:val="00EF1C57"/>
    <w:rsid w:val="00F46D21"/>
    <w:rsid w:val="00F9249C"/>
    <w:rsid w:val="00F95CB0"/>
    <w:rsid w:val="00FA4D2E"/>
    <w:rsid w:val="00FB3A1D"/>
    <w:rsid w:val="00FC45CE"/>
    <w:rsid w:val="00FD74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A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90C"/>
    <w:pPr>
      <w:widowControl w:val="0"/>
      <w:autoSpaceDE w:val="0"/>
      <w:autoSpaceDN w:val="0"/>
      <w:spacing w:after="0" w:line="240" w:lineRule="auto"/>
      <w:ind w:left="1246" w:hanging="708"/>
    </w:pPr>
    <w:rPr>
      <w:rFonts w:ascii="Lucida Sans Unicode" w:eastAsia="Lucida Sans Unicode" w:hAnsi="Lucida Sans Unicode" w:cs="Lucida Sans Unicode"/>
      <w:lang w:val="en-US"/>
    </w:rPr>
  </w:style>
  <w:style w:type="character" w:styleId="Hyperlink">
    <w:name w:val="Hyperlink"/>
    <w:basedOn w:val="DefaultParagraphFont"/>
    <w:uiPriority w:val="99"/>
    <w:unhideWhenUsed/>
    <w:rsid w:val="007E490C"/>
    <w:rPr>
      <w:color w:val="0000FF" w:themeColor="hyperlink"/>
      <w:u w:val="single"/>
    </w:rPr>
  </w:style>
  <w:style w:type="paragraph" w:styleId="BalloonText">
    <w:name w:val="Balloon Text"/>
    <w:basedOn w:val="Normal"/>
    <w:link w:val="BalloonTextChar"/>
    <w:uiPriority w:val="99"/>
    <w:semiHidden/>
    <w:unhideWhenUsed/>
    <w:rsid w:val="0007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BD6"/>
    <w:rPr>
      <w:rFonts w:ascii="Tahoma" w:hAnsi="Tahoma" w:cs="Tahoma"/>
      <w:sz w:val="16"/>
      <w:szCs w:val="16"/>
    </w:rPr>
  </w:style>
  <w:style w:type="paragraph" w:styleId="NormalWeb">
    <w:name w:val="Normal (Web)"/>
    <w:basedOn w:val="Normal"/>
    <w:uiPriority w:val="99"/>
    <w:unhideWhenUsed/>
    <w:rsid w:val="00660BD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Header">
    <w:name w:val="header"/>
    <w:basedOn w:val="Normal"/>
    <w:link w:val="HeaderChar"/>
    <w:uiPriority w:val="99"/>
    <w:unhideWhenUsed/>
    <w:rsid w:val="007071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07176"/>
  </w:style>
  <w:style w:type="paragraph" w:styleId="Footer">
    <w:name w:val="footer"/>
    <w:basedOn w:val="Normal"/>
    <w:link w:val="FooterChar"/>
    <w:uiPriority w:val="99"/>
    <w:semiHidden/>
    <w:unhideWhenUsed/>
    <w:rsid w:val="0070717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07176"/>
  </w:style>
</w:styles>
</file>

<file path=word/webSettings.xml><?xml version="1.0" encoding="utf-8"?>
<w:webSettings xmlns:r="http://schemas.openxmlformats.org/officeDocument/2006/relationships" xmlns:w="http://schemas.openxmlformats.org/wordprocessingml/2006/main">
  <w:divs>
    <w:div w:id="647785893">
      <w:bodyDiv w:val="1"/>
      <w:marLeft w:val="0"/>
      <w:marRight w:val="0"/>
      <w:marTop w:val="0"/>
      <w:marBottom w:val="0"/>
      <w:divBdr>
        <w:top w:val="none" w:sz="0" w:space="0" w:color="auto"/>
        <w:left w:val="none" w:sz="0" w:space="0" w:color="auto"/>
        <w:bottom w:val="none" w:sz="0" w:space="0" w:color="auto"/>
        <w:right w:val="none" w:sz="0" w:space="0" w:color="auto"/>
      </w:divBdr>
    </w:div>
    <w:div w:id="153900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adilfouad@hotmai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4</cp:revision>
  <dcterms:created xsi:type="dcterms:W3CDTF">2019-01-19T22:25:00Z</dcterms:created>
  <dcterms:modified xsi:type="dcterms:W3CDTF">2019-01-27T18:48:00Z</dcterms:modified>
</cp:coreProperties>
</file>